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footer+xml" PartName="/word/footer4.xml"/>
  <Override ContentType="application/vnd.openxmlformats-officedocument.wordprocessingml.header+xml" PartName="/word/header1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5000000">
      <w:pPr>
        <w:spacing w:line="360" w:lineRule="auto"/>
        <w:ind/>
        <w:rPr>
          <w:b w:val="1"/>
        </w:rPr>
      </w:pPr>
    </w:p>
    <w:p w14:paraId="06000000">
      <w:pPr>
        <w:spacing w:line="360" w:lineRule="auto"/>
        <w:ind w:firstLine="0" w:left="567" w:right="0"/>
        <w:jc w:val="center"/>
        <w:rPr>
          <w:b w:val="1"/>
        </w:rPr>
      </w:pPr>
      <w:r>
        <w:rPr>
          <w:b w:val="1"/>
        </w:rPr>
        <w:t>ПОЯСНИТЕЛЬНАЯ ЗАПИСКА</w:t>
      </w:r>
    </w:p>
    <w:p w14:paraId="07000000">
      <w:pPr>
        <w:spacing w:line="360" w:lineRule="auto"/>
        <w:ind w:firstLine="0" w:left="567" w:right="0"/>
        <w:jc w:val="center"/>
        <w:rPr>
          <w:b w:val="1"/>
        </w:rPr>
      </w:pPr>
      <w:r>
        <w:rPr>
          <w:b w:val="1"/>
        </w:rPr>
        <w:t>ИНФОРМАЦИЯ</w:t>
      </w:r>
    </w:p>
    <w:p w14:paraId="08000000">
      <w:pPr>
        <w:spacing w:line="360" w:lineRule="auto"/>
        <w:ind w:firstLine="0" w:left="567" w:right="0"/>
        <w:jc w:val="center"/>
        <w:rPr>
          <w:b w:val="1"/>
        </w:rPr>
      </w:pPr>
      <w:r>
        <w:rPr>
          <w:b w:val="1"/>
        </w:rPr>
        <w:t>об исполнении собственного бюджета</w:t>
      </w:r>
    </w:p>
    <w:p w14:paraId="09000000">
      <w:pPr>
        <w:spacing w:line="360" w:lineRule="auto"/>
        <w:ind w:firstLine="0" w:left="567" w:right="0"/>
        <w:jc w:val="center"/>
        <w:rPr>
          <w:b w:val="1"/>
        </w:rPr>
      </w:pPr>
      <w:r>
        <w:rPr>
          <w:b w:val="1"/>
        </w:rPr>
        <w:t>администрации муниципального образования «Сельское поселение Капустиноярский сельсовет Ахтубинского муниципального района Астраханской области»</w:t>
      </w:r>
    </w:p>
    <w:p w14:paraId="0A000000">
      <w:pPr>
        <w:spacing w:line="360" w:lineRule="auto"/>
        <w:ind w:firstLine="0" w:left="567" w:right="0"/>
        <w:jc w:val="center"/>
      </w:pPr>
      <w:r>
        <w:rPr>
          <w:b w:val="1"/>
        </w:rPr>
        <w:t>за  2023 год</w:t>
      </w:r>
    </w:p>
    <w:p w14:paraId="0B000000">
      <w:pPr>
        <w:ind w:firstLine="0" w:left="-228" w:right="0"/>
        <w:jc w:val="both"/>
        <w:rPr>
          <w:b w:val="0"/>
        </w:rPr>
      </w:pPr>
      <w:r>
        <w:t xml:space="preserve">       Исполнение бюджета в 2023 году администрацией </w:t>
      </w:r>
      <w:r>
        <w:rPr>
          <w:b w:val="0"/>
        </w:rPr>
        <w:t xml:space="preserve"> муниципального образования «Сельское поселение Капустиноярский сельсовет Ахтубинского муниципального района Астраханской области» </w:t>
      </w:r>
      <w:r>
        <w:t>производилось в соответствии с Решением Совета МО "Капустиноярский сельсовет" от 28.12.2022 №18 "О бюджете МО "Капустиноярский сельсовет" на 2023 год и плановый период 2024-2025г" (в редакции решения совета "О внесении изменений в решение Совета МО "Капустиноярский сельсовет" от 28.07.2023 №7 "О бюджете муниципального образования "Сельское поселение Капустиноярский сельсовет Ахтубинского муниципального района Астраханской области» на 2023 год и плановый период 2024-2025г"</w:t>
      </w:r>
    </w:p>
    <w:p w14:paraId="0C000000">
      <w:pPr>
        <w:ind w:firstLine="0" w:left="-284" w:right="0"/>
        <w:jc w:val="both"/>
      </w:pPr>
      <w:r>
        <w:t xml:space="preserve">        Получателями средств бюджета муниципального образования «</w:t>
      </w:r>
      <w:r>
        <w:t xml:space="preserve">Сельское поселение Капустиноярский сельсовет Ахтубинского муниципального района Астраханской области» </w:t>
      </w:r>
      <w:r>
        <w:t xml:space="preserve"> являлись следующие учреждения:</w:t>
      </w:r>
    </w:p>
    <w:p w14:paraId="0D000000">
      <w:pPr>
        <w:ind w:firstLine="0" w:left="-228" w:right="0"/>
        <w:jc w:val="both"/>
      </w:pPr>
      <w:r>
        <w:t xml:space="preserve">   -  Администрация муниципального образования </w:t>
      </w:r>
      <w:r>
        <w:t xml:space="preserve">Сельское поселение Капустиноярский сельсовет Ахтубинского муниципального района Астраханской области» </w:t>
      </w:r>
      <w:r>
        <w:t xml:space="preserve">; </w:t>
      </w:r>
    </w:p>
    <w:p w14:paraId="0E000000">
      <w:pPr>
        <w:ind w:firstLine="0" w:left="-284" w:right="0"/>
        <w:jc w:val="both"/>
      </w:pPr>
      <w:r>
        <w:t xml:space="preserve">        Кассовое обслуживание исполнения бюджета муниципального образования «</w:t>
      </w:r>
      <w:r>
        <w:t xml:space="preserve">Сельское поселение Капустиноярский сельсовет Ахтубинского муниципального района Астраханской области» </w:t>
      </w:r>
      <w:r>
        <w:t xml:space="preserve">осуществлялось Управлением Федерального казначейства по Астраханской области в соответствии  с Соглашением «Об осуществлении органом Федерального казначейства отдельных функций  по исполнению местного бюджета при кассовом обслуживании исполнения бюджета органом Федерального казначейства» от 01.08.2011, с использованием системы электронного документооборота. </w:t>
      </w:r>
    </w:p>
    <w:p w14:paraId="0F000000">
      <w:pPr>
        <w:ind w:firstLine="0" w:left="-284" w:right="0"/>
        <w:jc w:val="both"/>
      </w:pPr>
      <w:r>
        <w:t xml:space="preserve">         Администрацией муниципального образования «</w:t>
      </w:r>
      <w:r>
        <w:t xml:space="preserve">Сельское поселение Капустиноярский сельсовет Ахтубинского муниципального района Астраханской области» </w:t>
      </w:r>
      <w:r>
        <w:t xml:space="preserve"> составлялась сводная бюджетная отчетность на основании представленной бюджетной отчетности подведомственными получателями бюджетных средств, администраторами доходов бюджета, администраторами источников финансирования дефицита бюджета.</w:t>
      </w:r>
    </w:p>
    <w:p w14:paraId="10000000">
      <w:pPr>
        <w:ind w:firstLine="0" w:left="-284" w:right="0"/>
        <w:jc w:val="both"/>
      </w:pPr>
    </w:p>
    <w:p w14:paraId="11000000">
      <w:pPr>
        <w:ind w:firstLine="0" w:left="-284" w:right="0"/>
        <w:jc w:val="both"/>
      </w:pPr>
    </w:p>
    <w:p w14:paraId="12000000">
      <w:pPr>
        <w:spacing w:line="360" w:lineRule="auto"/>
        <w:ind/>
        <w:jc w:val="center"/>
        <w:rPr>
          <w:b w:val="1"/>
          <w:i w:val="1"/>
        </w:rPr>
      </w:pPr>
      <w:r>
        <w:rPr>
          <w:b w:val="1"/>
          <w:i w:val="1"/>
        </w:rPr>
        <w:t xml:space="preserve">ИСПОЛНЕНИЕ ДОХОДНОЙ ЧАСТИ </w:t>
      </w:r>
    </w:p>
    <w:p w14:paraId="13000000">
      <w:pPr>
        <w:spacing w:line="360" w:lineRule="auto"/>
        <w:ind/>
        <w:jc w:val="center"/>
      </w:pPr>
      <w:r>
        <w:rPr>
          <w:b w:val="1"/>
          <w:i w:val="1"/>
        </w:rPr>
        <w:t>БЮДЖЕТА  АДМИНИСТРАЦИИ «СЕЛЬСКОЕ ПОСЕЛЕНИЕ КАПУСТИНОЯРСКИЙ СЕЛЬСОВЕТ АХТУБИНСКОГО МУНИЦИПАЛЬНОГО РАЙОНА АСТРАХАНСКОЙ ОБЛАСТИ»</w:t>
      </w:r>
      <w:r>
        <w:t xml:space="preserve"> </w:t>
      </w:r>
    </w:p>
    <w:p w14:paraId="14000000">
      <w:pPr>
        <w:ind/>
        <w:jc w:val="both"/>
      </w:pPr>
      <w:r>
        <w:t xml:space="preserve">       Основными источниками поступления налоговых и неналоговых доходов являются поступления НДФЛ (271,94417 тыс. руб.), земельного налога (702,08069 тыс. руб.), имущественный налог (1001,13855 тыс. руб.), сельхоз/налога-(13,26331 тыс. руб).</w:t>
      </w:r>
    </w:p>
    <w:p w14:paraId="15000000">
      <w:pPr>
        <w:spacing w:line="360" w:lineRule="auto"/>
        <w:ind w:firstLine="129" w:left="3411" w:right="0"/>
      </w:pPr>
    </w:p>
    <w:tbl>
      <w:tblPr>
        <w:tblStyle w:val="Style_3"/>
        <w:tblInd w:type="dxa" w:w="-92"/>
        <w:tblLayout w:type="fixed"/>
        <w:tblCellMar>
          <w:top w:type="dxa" w:w="0"/>
          <w:left w:type="dxa" w:w="30"/>
          <w:bottom w:type="dxa" w:w="0"/>
          <w:right w:type="dxa" w:w="30"/>
        </w:tblCellMar>
      </w:tblPr>
      <w:tblGrid>
        <w:gridCol w:w="4566"/>
        <w:gridCol w:w="1560"/>
        <w:gridCol w:w="1417"/>
        <w:gridCol w:w="1276"/>
        <w:gridCol w:w="1744"/>
      </w:tblGrid>
      <w:tr>
        <w:trPr>
          <w:trHeight w:hRule="atLeast" w:val="722"/>
        </w:trPr>
        <w:tc>
          <w:tcPr>
            <w:tcW w:type="dxa" w:w="4566"/>
            <w:tcBorders>
              <w:top w:color="000000" w:sz="4" w:val="single"/>
              <w:lef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16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Наименование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17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Утвержденные бюджетные назначения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18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Исполнено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19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Отклонение факт-план</w:t>
            </w:r>
          </w:p>
        </w:tc>
        <w:tc>
          <w:tcPr>
            <w:tcW w:type="dxa" w:w="1744"/>
            <w:tcBorders>
              <w:top w:color="000000" w:sz="4" w:val="single"/>
              <w:left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1A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% исполнения</w:t>
            </w:r>
          </w:p>
        </w:tc>
      </w:tr>
      <w:tr>
        <w:trPr>
          <w:trHeight w:hRule="atLeast" w:val="240"/>
        </w:trPr>
        <w:tc>
          <w:tcPr>
            <w:tcW w:type="dxa" w:w="4566"/>
            <w:tcBorders>
              <w:lef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1B000000">
            <w:pPr>
              <w:ind/>
              <w:jc w:val="center"/>
              <w:rPr>
                <w:color w:val="000000"/>
                <w:sz w:val="22"/>
              </w:rPr>
            </w:pPr>
          </w:p>
        </w:tc>
        <w:tc>
          <w:tcPr>
            <w:tcW w:type="dxa" w:w="1560"/>
            <w:tcBorders>
              <w:lef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1C000000">
            <w:pPr>
              <w:ind/>
              <w:jc w:val="center"/>
              <w:rPr>
                <w:color w:val="000000"/>
                <w:sz w:val="22"/>
              </w:rPr>
            </w:pPr>
          </w:p>
        </w:tc>
        <w:tc>
          <w:tcPr>
            <w:tcW w:type="dxa" w:w="1417"/>
            <w:tcBorders>
              <w:lef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1D000000">
            <w:pPr>
              <w:ind/>
              <w:jc w:val="center"/>
              <w:rPr>
                <w:color w:val="000000"/>
                <w:sz w:val="22"/>
              </w:rPr>
            </w:pPr>
          </w:p>
        </w:tc>
        <w:tc>
          <w:tcPr>
            <w:tcW w:type="dxa" w:w="1276"/>
            <w:tcBorders>
              <w:lef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1E000000">
            <w:pPr>
              <w:ind/>
              <w:jc w:val="center"/>
              <w:rPr>
                <w:color w:val="000000"/>
                <w:sz w:val="22"/>
              </w:rPr>
            </w:pPr>
          </w:p>
        </w:tc>
        <w:tc>
          <w:tcPr>
            <w:tcW w:type="dxa" w:w="1744"/>
            <w:tcBorders>
              <w:left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1F000000">
            <w:pPr>
              <w:ind/>
              <w:jc w:val="center"/>
              <w:rPr>
                <w:color w:val="000000"/>
                <w:sz w:val="22"/>
              </w:rPr>
            </w:pPr>
          </w:p>
        </w:tc>
      </w:tr>
      <w:tr>
        <w:trPr>
          <w:trHeight w:hRule="atLeast" w:val="204"/>
        </w:trPr>
        <w:tc>
          <w:tcPr>
            <w:tcW w:type="dxa" w:w="4566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20000000">
            <w:pPr>
              <w:rPr>
                <w:color w:val="000000"/>
                <w:sz w:val="22"/>
              </w:rPr>
            </w:pPr>
          </w:p>
        </w:tc>
        <w:tc>
          <w:tcPr>
            <w:tcW w:type="dxa" w:w="1560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21000000">
            <w:pPr>
              <w:rPr>
                <w:color w:val="000000"/>
                <w:sz w:val="22"/>
              </w:rPr>
            </w:pPr>
          </w:p>
        </w:tc>
        <w:tc>
          <w:tcPr>
            <w:tcW w:type="dxa" w:w="1417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22000000">
            <w:pPr>
              <w:rPr>
                <w:color w:val="000000"/>
                <w:sz w:val="22"/>
              </w:rPr>
            </w:pPr>
          </w:p>
        </w:tc>
        <w:tc>
          <w:tcPr>
            <w:tcW w:type="dxa" w:w="1276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23000000">
            <w:pPr>
              <w:rPr>
                <w:color w:val="000000"/>
                <w:sz w:val="22"/>
              </w:rPr>
            </w:pPr>
          </w:p>
        </w:tc>
        <w:tc>
          <w:tcPr>
            <w:tcW w:type="dxa" w:w="1744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24000000">
            <w:pPr>
              <w:rPr>
                <w:color w:val="000000"/>
                <w:sz w:val="22"/>
              </w:rPr>
            </w:pPr>
          </w:p>
        </w:tc>
      </w:tr>
      <w:tr>
        <w:trPr>
          <w:trHeight w:hRule="atLeast" w:val="423"/>
        </w:trPr>
        <w:tc>
          <w:tcPr>
            <w:tcW w:type="dxa" w:w="456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25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i w:val="1"/>
                <w:color w:val="000000"/>
                <w:sz w:val="22"/>
              </w:rPr>
              <w:t>ДОХОДЫ налоговые и неналоговые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26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1452,78700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27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1292,38561</w:t>
            </w:r>
          </w:p>
          <w:p w14:paraId="28000000">
            <w:pPr>
              <w:ind/>
              <w:jc w:val="center"/>
              <w:rPr>
                <w:b w:val="1"/>
                <w:color w:val="000000"/>
                <w:sz w:val="22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29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-181,59814</w:t>
            </w:r>
          </w:p>
          <w:p w14:paraId="2A000000">
            <w:pPr>
              <w:ind/>
              <w:jc w:val="center"/>
              <w:rPr>
                <w:b w:val="1"/>
                <w:color w:val="000000"/>
                <w:sz w:val="22"/>
              </w:rPr>
            </w:pPr>
          </w:p>
        </w:tc>
        <w:tc>
          <w:tcPr>
            <w:tcW w:type="dxa" w:w="17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2B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89</w:t>
            </w:r>
          </w:p>
        </w:tc>
      </w:tr>
      <w:tr>
        <w:trPr>
          <w:trHeight w:hRule="atLeast" w:val="456"/>
        </w:trPr>
        <w:tc>
          <w:tcPr>
            <w:tcW w:type="dxa" w:w="456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2C00000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Налог на доходы  физических лиц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2D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256,78700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2E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271,94417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2F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+15,15717</w:t>
            </w:r>
          </w:p>
        </w:tc>
        <w:tc>
          <w:tcPr>
            <w:tcW w:type="dxa" w:w="17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30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106</w:t>
            </w:r>
          </w:p>
        </w:tc>
      </w:tr>
      <w:tr>
        <w:trPr>
          <w:trHeight w:hRule="atLeast" w:val="392"/>
        </w:trPr>
        <w:tc>
          <w:tcPr>
            <w:tcW w:type="dxa" w:w="456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3100000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Единый сельскохозяйственный налог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32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15,00000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33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13,26331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34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-1,73669</w:t>
            </w:r>
          </w:p>
        </w:tc>
        <w:tc>
          <w:tcPr>
            <w:tcW w:type="dxa" w:w="17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35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88</w:t>
            </w:r>
          </w:p>
        </w:tc>
      </w:tr>
      <w:tr>
        <w:trPr>
          <w:trHeight w:hRule="atLeast" w:val="425"/>
        </w:trPr>
        <w:tc>
          <w:tcPr>
            <w:tcW w:type="dxa" w:w="456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3600000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Налог на имущество физических лиц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37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390,00000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38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299,05786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39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-90,94214</w:t>
            </w:r>
          </w:p>
        </w:tc>
        <w:tc>
          <w:tcPr>
            <w:tcW w:type="dxa" w:w="17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3A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77</w:t>
            </w:r>
          </w:p>
        </w:tc>
      </w:tr>
      <w:tr>
        <w:trPr>
          <w:trHeight w:hRule="atLeast" w:val="403"/>
        </w:trPr>
        <w:tc>
          <w:tcPr>
            <w:tcW w:type="dxa" w:w="456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3B00000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Земельный налог с физических лиц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3C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744,00000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3D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680,91975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3E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-63,08025</w:t>
            </w:r>
          </w:p>
        </w:tc>
        <w:tc>
          <w:tcPr>
            <w:tcW w:type="dxa" w:w="17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3F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92</w:t>
            </w:r>
          </w:p>
        </w:tc>
      </w:tr>
      <w:tr>
        <w:trPr>
          <w:trHeight w:hRule="atLeast" w:val="410"/>
        </w:trPr>
        <w:tc>
          <w:tcPr>
            <w:tcW w:type="dxa" w:w="456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4000000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Земельный налог с организаций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41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47,00000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42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21,16094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43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-25,83506</w:t>
            </w:r>
          </w:p>
        </w:tc>
        <w:tc>
          <w:tcPr>
            <w:tcW w:type="dxa" w:w="17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44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45</w:t>
            </w:r>
          </w:p>
        </w:tc>
      </w:tr>
      <w:tr>
        <w:trPr>
          <w:trHeight w:hRule="atLeast" w:val="411"/>
        </w:trPr>
        <w:tc>
          <w:tcPr>
            <w:tcW w:type="dxa" w:w="4566"/>
            <w:tcBorders>
              <w:top w:color="000000" w:sz="4" w:val="single"/>
              <w:left w:color="000000" w:sz="4" w:val="single"/>
              <w:bottom w:color="000000" w:sz="6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4500000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Земельный налог (по обязательствам, возникшим до 1 января 2006 года),мобилизуемый на территории сельских поселений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6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46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0,00000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6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47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6,03958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6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48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0,0000</w:t>
            </w:r>
          </w:p>
        </w:tc>
        <w:tc>
          <w:tcPr>
            <w:tcW w:type="dxa" w:w="1744"/>
            <w:tcBorders>
              <w:top w:color="000000" w:sz="4" w:val="single"/>
              <w:left w:color="000000" w:sz="4" w:val="single"/>
              <w:bottom w:color="000000" w:sz="6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49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</w:tr>
      <w:tr>
        <w:trPr>
          <w:trHeight w:hRule="atLeast" w:val="411"/>
        </w:trPr>
        <w:tc>
          <w:tcPr>
            <w:tcW w:type="dxa" w:w="456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color="000000" w:val="nil"/>
              <w:tr2bl w:color="000000" w:val="nil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4A00000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type="dxa" w:w="156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color="000000" w:val="nil"/>
              <w:tr2bl w:color="000000" w:val="nil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4B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1156,16700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color="000000" w:val="nil"/>
              <w:tr2bl w:color="000000" w:val="nil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4C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845,70955</w:t>
            </w:r>
          </w:p>
        </w:tc>
        <w:tc>
          <w:tcPr>
            <w:tcW w:type="dxa" w:w="127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color="000000" w:val="nil"/>
              <w:tr2bl w:color="000000" w:val="nil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4D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-31,45745</w:t>
            </w:r>
          </w:p>
        </w:tc>
        <w:tc>
          <w:tcPr>
            <w:tcW w:type="dxa" w:w="17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color="000000" w:val="nil"/>
              <w:tr2bl w:color="000000" w:val="nil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4E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73</w:t>
            </w:r>
          </w:p>
        </w:tc>
      </w:tr>
      <w:tr>
        <w:trPr>
          <w:trHeight w:hRule="atLeast" w:val="411"/>
        </w:trPr>
        <w:tc>
          <w:tcPr>
            <w:tcW w:type="dxa" w:w="4566"/>
            <w:tcBorders>
              <w:top w:color="000000" w:sz="6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4F00000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</w:t>
            </w:r>
          </w:p>
        </w:tc>
        <w:tc>
          <w:tcPr>
            <w:tcW w:type="dxa" w:w="1560"/>
            <w:tcBorders>
              <w:top w:color="000000" w:sz="6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50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0,00000</w:t>
            </w:r>
          </w:p>
        </w:tc>
        <w:tc>
          <w:tcPr>
            <w:tcW w:type="dxa" w:w="1417"/>
            <w:tcBorders>
              <w:top w:color="000000" w:sz="6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51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37,84155</w:t>
            </w:r>
          </w:p>
        </w:tc>
        <w:tc>
          <w:tcPr>
            <w:tcW w:type="dxa" w:w="1276"/>
            <w:tcBorders>
              <w:top w:color="000000" w:sz="6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52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0,00000</w:t>
            </w:r>
          </w:p>
        </w:tc>
        <w:tc>
          <w:tcPr>
            <w:tcW w:type="dxa" w:w="1744"/>
            <w:tcBorders>
              <w:top w:color="000000" w:sz="6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53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0,00000</w:t>
            </w:r>
          </w:p>
        </w:tc>
      </w:tr>
      <w:tr>
        <w:trPr>
          <w:trHeight w:hRule="atLeast" w:val="411"/>
        </w:trPr>
        <w:tc>
          <w:tcPr>
            <w:tcW w:type="dxa" w:w="456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5400000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Доходы, получаемые в виде арендной платы за земельные участки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55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1156,16700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56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807,86800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57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-348,29900</w:t>
            </w:r>
          </w:p>
        </w:tc>
        <w:tc>
          <w:tcPr>
            <w:tcW w:type="dxa" w:w="17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58000000">
            <w:pPr>
              <w:ind/>
              <w:jc w:val="center"/>
            </w:pPr>
            <w:r>
              <w:rPr>
                <w:color w:val="000000"/>
                <w:sz w:val="22"/>
              </w:rPr>
              <w:t>70</w:t>
            </w:r>
          </w:p>
        </w:tc>
      </w:tr>
      <w:tr>
        <w:trPr>
          <w:trHeight w:hRule="atLeast" w:val="411"/>
        </w:trPr>
        <w:tc>
          <w:tcPr>
            <w:tcW w:type="dxa" w:w="4566"/>
            <w:tcBorders>
              <w:top w:color="000000" w:sz="6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5900000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Административный штраф</w:t>
            </w:r>
          </w:p>
        </w:tc>
        <w:tc>
          <w:tcPr>
            <w:tcW w:type="dxa" w:w="1560"/>
            <w:tcBorders>
              <w:top w:color="000000" w:sz="6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5A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9,00000</w:t>
            </w:r>
          </w:p>
        </w:tc>
        <w:tc>
          <w:tcPr>
            <w:tcW w:type="dxa" w:w="1417"/>
            <w:tcBorders>
              <w:top w:color="000000" w:sz="6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5B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7,00000</w:t>
            </w:r>
          </w:p>
        </w:tc>
        <w:tc>
          <w:tcPr>
            <w:tcW w:type="dxa" w:w="1276"/>
            <w:tcBorders>
              <w:top w:color="000000" w:sz="6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5C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-2,00000</w:t>
            </w:r>
          </w:p>
        </w:tc>
        <w:tc>
          <w:tcPr>
            <w:tcW w:type="dxa" w:w="1744"/>
            <w:tcBorders>
              <w:top w:color="000000" w:sz="6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5D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78</w:t>
            </w:r>
          </w:p>
        </w:tc>
      </w:tr>
      <w:tr>
        <w:trPr>
          <w:trHeight w:hRule="atLeast" w:val="411"/>
        </w:trPr>
        <w:tc>
          <w:tcPr>
            <w:tcW w:type="dxa" w:w="4566"/>
            <w:tcBorders>
              <w:top w:color="000000" w:sz="6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5E000000">
            <w:pPr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Налоговые и неналоговые всего</w:t>
            </w:r>
          </w:p>
        </w:tc>
        <w:tc>
          <w:tcPr>
            <w:tcW w:type="dxa" w:w="1560"/>
            <w:tcBorders>
              <w:top w:color="000000" w:sz="6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5F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2617,95400</w:t>
            </w:r>
          </w:p>
        </w:tc>
        <w:tc>
          <w:tcPr>
            <w:tcW w:type="dxa" w:w="1417"/>
            <w:tcBorders>
              <w:top w:color="000000" w:sz="6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60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2145,09516</w:t>
            </w:r>
          </w:p>
        </w:tc>
        <w:tc>
          <w:tcPr>
            <w:tcW w:type="dxa" w:w="1276"/>
            <w:tcBorders>
              <w:top w:color="000000" w:sz="6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61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-472,85884</w:t>
            </w:r>
          </w:p>
        </w:tc>
        <w:tc>
          <w:tcPr>
            <w:tcW w:type="dxa" w:w="1744"/>
            <w:tcBorders>
              <w:top w:color="000000" w:sz="6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62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82</w:t>
            </w:r>
          </w:p>
        </w:tc>
      </w:tr>
    </w:tbl>
    <w:p w14:paraId="63000000">
      <w:pPr>
        <w:sectPr>
          <w:headerReference r:id="rId1" w:type="default"/>
          <w:footerReference r:id="rId2" w:type="default"/>
          <w:pgSz w:h="16838" w:orient="portrait" w:w="11906"/>
          <w:pgMar w:bottom="730" w:footer="454" w:header="426" w:left="1134" w:right="851" w:top="702"/>
          <w:pgNumType w:fmt="decimal"/>
        </w:sectPr>
      </w:pPr>
    </w:p>
    <w:tbl>
      <w:tblPr>
        <w:tblStyle w:val="Style_3"/>
        <w:tblInd w:type="dxa" w:w="-92"/>
        <w:tblLayout w:type="fixed"/>
        <w:tblCellMar>
          <w:top w:type="dxa" w:w="0"/>
          <w:left w:type="dxa" w:w="30"/>
          <w:bottom w:type="dxa" w:w="0"/>
          <w:right w:type="dxa" w:w="30"/>
        </w:tblCellMar>
      </w:tblPr>
      <w:tblGrid>
        <w:gridCol w:w="4566"/>
        <w:gridCol w:w="1560"/>
        <w:gridCol w:w="1417"/>
        <w:gridCol w:w="1276"/>
        <w:gridCol w:w="1744"/>
      </w:tblGrid>
      <w:tr>
        <w:trPr>
          <w:trHeight w:hRule="atLeast" w:val="408"/>
        </w:trPr>
        <w:tc>
          <w:tcPr>
            <w:tcW w:type="dxa" w:w="456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64000000">
            <w:pPr>
              <w:rPr>
                <w:b w:val="1"/>
                <w:color w:val="000000"/>
                <w:sz w:val="22"/>
              </w:rPr>
            </w:pPr>
            <w:r>
              <w:rPr>
                <w:b w:val="1"/>
                <w:i w:val="1"/>
                <w:color w:val="000000"/>
                <w:sz w:val="22"/>
              </w:rPr>
              <w:t>БЕЗВОЗМЕЗДНЫЕ ПОСТУПЛЕНИЯ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65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6872,44514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66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6872,44514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67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0</w:t>
            </w:r>
          </w:p>
        </w:tc>
        <w:tc>
          <w:tcPr>
            <w:tcW w:type="dxa" w:w="17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68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100</w:t>
            </w:r>
          </w:p>
        </w:tc>
      </w:tr>
      <w:tr>
        <w:trPr>
          <w:trHeight w:hRule="atLeast" w:val="530"/>
        </w:trPr>
        <w:tc>
          <w:tcPr>
            <w:tcW w:type="dxa" w:w="456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69000000">
            <w:pPr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6A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4933,03100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6B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4933,03100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6C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0</w:t>
            </w:r>
          </w:p>
        </w:tc>
        <w:tc>
          <w:tcPr>
            <w:tcW w:type="dxa" w:w="17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6D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100,0</w:t>
            </w:r>
          </w:p>
        </w:tc>
      </w:tr>
      <w:tr>
        <w:trPr>
          <w:trHeight w:hRule="atLeast" w:val="887"/>
        </w:trPr>
        <w:tc>
          <w:tcPr>
            <w:tcW w:type="dxa" w:w="456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6E00000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Дотации бюджетам поселений на выравнивание уровня бюджетной обеспеченности из субъекта РФ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6F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4304,70000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70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4304,70000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71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type="dxa" w:w="17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72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100,0</w:t>
            </w:r>
          </w:p>
        </w:tc>
      </w:tr>
      <w:tr>
        <w:trPr>
          <w:trHeight w:hRule="atLeast" w:val="887"/>
        </w:trPr>
        <w:tc>
          <w:tcPr>
            <w:tcW w:type="dxa" w:w="4566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7300000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Дотации бюджетам поселений на выравнивание уровня бюджетной обеспеченности из бюджетов муниципальных районов</w:t>
            </w:r>
          </w:p>
        </w:tc>
        <w:tc>
          <w:tcPr>
            <w:tcW w:type="dxa" w:w="1560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74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628,33100</w:t>
            </w:r>
          </w:p>
        </w:tc>
        <w:tc>
          <w:tcPr>
            <w:tcW w:type="dxa" w:w="1417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75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628,33100</w:t>
            </w:r>
          </w:p>
        </w:tc>
        <w:tc>
          <w:tcPr>
            <w:tcW w:type="dxa" w:w="1276"/>
            <w:tcBorders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76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type="dxa" w:w="1744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77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100,0</w:t>
            </w:r>
          </w:p>
        </w:tc>
      </w:tr>
      <w:tr>
        <w:trPr>
          <w:trHeight w:hRule="atLeast" w:val="482"/>
        </w:trPr>
        <w:tc>
          <w:tcPr>
            <w:tcW w:type="dxa" w:w="456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78000000">
            <w:pPr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79000000">
            <w:pPr>
              <w:rPr>
                <w:b w:val="1"/>
              </w:rPr>
            </w:pPr>
            <w:r>
              <w:t xml:space="preserve">    </w:t>
            </w:r>
            <w:r>
              <w:rPr>
                <w:b w:val="1"/>
              </w:rPr>
              <w:t>61,61269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7A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61,61269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7B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type="dxa" w:w="17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7C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100,0</w:t>
            </w:r>
          </w:p>
        </w:tc>
      </w:tr>
      <w:tr>
        <w:trPr>
          <w:trHeight w:hRule="atLeast" w:val="542"/>
        </w:trPr>
        <w:tc>
          <w:tcPr>
            <w:tcW w:type="dxa" w:w="456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7D000000">
            <w:pPr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7E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291,90000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7F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291,90000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80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0</w:t>
            </w:r>
          </w:p>
        </w:tc>
        <w:tc>
          <w:tcPr>
            <w:tcW w:type="dxa" w:w="17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81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100,0</w:t>
            </w:r>
          </w:p>
        </w:tc>
      </w:tr>
      <w:tr>
        <w:trPr>
          <w:trHeight w:hRule="atLeast" w:val="542"/>
        </w:trPr>
        <w:tc>
          <w:tcPr>
            <w:tcW w:type="dxa" w:w="456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82000000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Субвенции бюджетам муниципальных районов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83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291,90000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84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291,90000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85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type="dxa" w:w="17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86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100,0</w:t>
            </w:r>
          </w:p>
        </w:tc>
      </w:tr>
      <w:tr>
        <w:trPr>
          <w:trHeight w:hRule="atLeast" w:val="722"/>
        </w:trPr>
        <w:tc>
          <w:tcPr>
            <w:tcW w:type="dxa" w:w="456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87000000">
            <w:pPr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88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1584,97295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89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1584,97295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8A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0</w:t>
            </w:r>
          </w:p>
        </w:tc>
        <w:tc>
          <w:tcPr>
            <w:tcW w:type="dxa" w:w="17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8B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100,00</w:t>
            </w:r>
          </w:p>
        </w:tc>
      </w:tr>
      <w:tr>
        <w:trPr>
          <w:trHeight w:hRule="atLeast" w:val="228"/>
        </w:trPr>
        <w:tc>
          <w:tcPr>
            <w:tcW w:type="dxa" w:w="456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8C000000">
            <w:pPr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Доходы бюджетов сельских поселений от возврата остатков субсидий, субвенций и иных межбюджетных трансфертов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8D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928,50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8E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928,50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8F000000">
            <w:pPr>
              <w:ind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type="dxa" w:w="17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90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0</w:t>
            </w:r>
          </w:p>
        </w:tc>
      </w:tr>
      <w:tr>
        <w:trPr>
          <w:trHeight w:hRule="atLeast" w:val="240"/>
        </w:trPr>
        <w:tc>
          <w:tcPr>
            <w:tcW w:type="dxa" w:w="456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91000000">
            <w:pPr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 xml:space="preserve">Всего доходов 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92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9490,39914</w:t>
            </w:r>
          </w:p>
        </w:tc>
        <w:tc>
          <w:tcPr>
            <w:tcW w:type="dxa" w:w="1417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93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9017,54030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94000000">
            <w:pPr>
              <w:ind/>
              <w:jc w:val="center"/>
              <w:rPr>
                <w:b w:val="1"/>
                <w:color w:val="000000"/>
                <w:sz w:val="22"/>
              </w:rPr>
            </w:pPr>
            <w:r>
              <w:rPr>
                <w:b w:val="1"/>
                <w:color w:val="000000"/>
                <w:sz w:val="22"/>
              </w:rPr>
              <w:t>-472,85884</w:t>
            </w:r>
          </w:p>
        </w:tc>
        <w:tc>
          <w:tcPr>
            <w:tcW w:type="dxa" w:w="174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95000000">
            <w:pPr>
              <w:ind/>
              <w:jc w:val="center"/>
            </w:pPr>
            <w:r>
              <w:rPr>
                <w:b w:val="1"/>
                <w:color w:val="000000"/>
                <w:sz w:val="22"/>
              </w:rPr>
              <w:t>95</w:t>
            </w:r>
          </w:p>
        </w:tc>
      </w:tr>
    </w:tbl>
    <w:p w14:paraId="96000000">
      <w:pPr>
        <w:spacing w:line="360" w:lineRule="auto"/>
        <w:ind/>
      </w:pPr>
      <w:r>
        <w:tab/>
      </w:r>
      <w:r>
        <w:t xml:space="preserve">Данные таблицы показывают, что </w:t>
      </w:r>
      <w:r>
        <w:rPr>
          <w:b w:val="1"/>
        </w:rPr>
        <w:t>собственные доходы</w:t>
      </w:r>
      <w:r>
        <w:t xml:space="preserve"> бюджета за 12 месяцев 2023 года (налоговые и неналоговые доходы) по отношению к утверждённым назначениям выполнены на 89 %. </w:t>
      </w:r>
    </w:p>
    <w:p w14:paraId="97000000">
      <w:r>
        <w:t>Собственные доходы (налоговые и неналоговые) составили 1292,38561 тыс. руб., в том числе:</w:t>
      </w:r>
    </w:p>
    <w:p w14:paraId="98000000">
      <w:r>
        <w:t>- 271,94417 тыс. руб. -  налог на доходы физических лиц</w:t>
      </w:r>
    </w:p>
    <w:p w14:paraId="99000000">
      <w:r>
        <w:t>-13,26331 тыс. руб. - единый сельскохозяйственный налог</w:t>
      </w:r>
    </w:p>
    <w:p w14:paraId="9A000000">
      <w:r>
        <w:t>-299,05786 тыс. руб. - имущественный налог физических лиц</w:t>
      </w:r>
    </w:p>
    <w:p w14:paraId="9B000000">
      <w:r>
        <w:t>-680,91975 тыс. руб. - земельный налог физических лиц</w:t>
      </w:r>
    </w:p>
    <w:p w14:paraId="9C000000">
      <w:r>
        <w:t xml:space="preserve">--21,16094 тыс. руб. - земельный налог с юридических лиц </w:t>
      </w:r>
    </w:p>
    <w:p w14:paraId="9D000000">
      <w:r>
        <w:t>-6,03958 тыс. руб.- земельный налог,(по обязательствам возникшим до 1 января 2006 года)</w:t>
      </w:r>
    </w:p>
    <w:p w14:paraId="9E000000">
      <w:r>
        <w:t>-845,70955 тыс. руб.- доходы, получаемые в виде арендной платы</w:t>
      </w:r>
    </w:p>
    <w:p w14:paraId="9F000000">
      <w:r>
        <w:t>-7,00000 тыс. руб.– административный штраф</w:t>
      </w:r>
    </w:p>
    <w:p w14:paraId="A0000000">
      <w:pPr>
        <w:ind w:firstLine="0" w:left="360" w:right="0"/>
        <w:rPr>
          <w:b w:val="1"/>
        </w:rPr>
      </w:pPr>
      <w:r>
        <w:t xml:space="preserve"> </w:t>
      </w:r>
    </w:p>
    <w:p w14:paraId="A1000000">
      <w:pPr>
        <w:ind/>
        <w:jc w:val="both"/>
        <w:rPr>
          <w:i w:val="1"/>
          <w:u w:val="single"/>
        </w:rPr>
      </w:pPr>
      <w:r>
        <w:rPr>
          <w:b w:val="1"/>
        </w:rPr>
        <w:t>Безвозмездные поступления</w:t>
      </w:r>
      <w:r>
        <w:t xml:space="preserve"> исполнены на 100% . За 2023 год поступило:</w:t>
      </w:r>
    </w:p>
    <w:p w14:paraId="A2000000">
      <w:pPr>
        <w:numPr>
          <w:ilvl w:val="1"/>
          <w:numId w:val="1"/>
        </w:numPr>
        <w:ind/>
        <w:jc w:val="both"/>
        <w:rPr>
          <w:i w:val="1"/>
          <w:u w:val="single"/>
        </w:rPr>
      </w:pPr>
      <w:r>
        <w:rPr>
          <w:i w:val="1"/>
          <w:u w:val="single"/>
        </w:rPr>
        <w:t>дотации бюджетам поселений на выравнивание уровня бюджетной обеспеченности из субъекта РФ</w:t>
      </w:r>
      <w:r>
        <w:t xml:space="preserve"> – 4304,70000 тыс. руб. при плане 4304,70000 тыс. руб., исполнение 100%;</w:t>
      </w:r>
    </w:p>
    <w:p w14:paraId="A3000000">
      <w:pPr>
        <w:numPr>
          <w:ilvl w:val="1"/>
          <w:numId w:val="1"/>
        </w:numPr>
        <w:ind/>
        <w:jc w:val="both"/>
        <w:rPr>
          <w:i w:val="1"/>
          <w:u w:val="single"/>
        </w:rPr>
      </w:pPr>
      <w:r>
        <w:rPr>
          <w:i w:val="1"/>
          <w:u w:val="single"/>
        </w:rPr>
        <w:t>дотации бюджетам поселений на выравнивание уровня бюджетной обеспеченности из бюджетов муниципальных районов</w:t>
      </w:r>
      <w:r>
        <w:t xml:space="preserve"> – 628,331000 тыс. руб. при плане 628,33100 тыс. руб., исполнение 100%;</w:t>
      </w:r>
    </w:p>
    <w:p w14:paraId="A4000000">
      <w:pPr>
        <w:numPr>
          <w:ilvl w:val="1"/>
          <w:numId w:val="2"/>
        </w:numPr>
        <w:ind/>
        <w:jc w:val="both"/>
      </w:pPr>
      <w:r>
        <w:rPr>
          <w:i w:val="1"/>
          <w:u w:val="single"/>
        </w:rPr>
        <w:t>межбюджетные трансферты передаваемые бюджетам сельских поселений</w:t>
      </w:r>
      <w:r>
        <w:t xml:space="preserve"> –61,61269 тыс .руб при плане 61,61269 тыс. руб, исполнение 100% , в том числе:</w:t>
      </w:r>
    </w:p>
    <w:p w14:paraId="A5000000">
      <w:pPr>
        <w:ind/>
        <w:jc w:val="both"/>
      </w:pPr>
      <w:r>
        <w:t xml:space="preserve">                    денежные средства выделены на выплату премии сотрудникам за 2023 год</w:t>
      </w:r>
    </w:p>
    <w:p w14:paraId="A6000000">
      <w:pPr>
        <w:ind/>
        <w:jc w:val="both"/>
      </w:pPr>
    </w:p>
    <w:p w14:paraId="A7000000">
      <w:pPr>
        <w:numPr>
          <w:ilvl w:val="1"/>
          <w:numId w:val="3"/>
        </w:numPr>
        <w:ind/>
        <w:jc w:val="both"/>
        <w:rPr>
          <w:i w:val="1"/>
          <w:u w:val="single"/>
        </w:rPr>
      </w:pPr>
      <w:r>
        <w:rPr>
          <w:i w:val="1"/>
          <w:u w:val="single"/>
        </w:rPr>
        <w:t>субвенции бюджетам субъектов РФ и муниципальных образований</w:t>
      </w:r>
      <w:r>
        <w:t xml:space="preserve"> – 291,90000 тыс. руб., в том числе на осуществление полномочий по первичному воинскому учету на территориях, где отсутствуют военные комиссариаты- 291,90000 тыс. руб., при плане 291,90000 тыс. руб., исполнение 100%;</w:t>
      </w:r>
    </w:p>
    <w:p w14:paraId="A8000000">
      <w:pPr>
        <w:numPr>
          <w:ilvl w:val="1"/>
          <w:numId w:val="3"/>
        </w:numPr>
        <w:ind/>
        <w:jc w:val="both"/>
      </w:pPr>
      <w:r>
        <w:rPr>
          <w:i w:val="1"/>
          <w:u w:val="single"/>
        </w:rPr>
        <w:t>доходы бюджетов сельских поселений от возврата остатков – 0,92850 тыс. руб.</w:t>
      </w:r>
      <w:r>
        <w:rPr>
          <w:i w:val="0"/>
          <w:u w:val="none"/>
        </w:rPr>
        <w:t xml:space="preserve"> </w:t>
      </w:r>
    </w:p>
    <w:p w14:paraId="A9000000">
      <w:pPr>
        <w:numPr>
          <w:ilvl w:val="1"/>
          <w:numId w:val="3"/>
        </w:numPr>
        <w:ind/>
        <w:jc w:val="both"/>
      </w:pPr>
      <w:r>
        <w:t xml:space="preserve"> субсидии бюджетам сельских поселений на реализацию программ формирования современной городской среды – 1584,97295 тыс. руб.    </w:t>
      </w:r>
    </w:p>
    <w:p w14:paraId="AA000000">
      <w:pPr>
        <w:ind/>
        <w:jc w:val="both"/>
      </w:pPr>
    </w:p>
    <w:p w14:paraId="AB000000">
      <w:pPr>
        <w:ind/>
        <w:jc w:val="left"/>
        <w:rPr>
          <w:color w:val="000000"/>
        </w:rPr>
      </w:pPr>
      <w:r>
        <w:rPr>
          <w:rFonts w:ascii="Times New Roman" w:hAnsi="Times New Roman"/>
          <w:color w:val="000000"/>
          <w:sz w:val="24"/>
        </w:rPr>
        <w:t> </w:t>
      </w:r>
      <w:r>
        <w:t xml:space="preserve">                                       </w:t>
      </w:r>
      <w:r>
        <w:rPr>
          <w:b w:val="1"/>
          <w:i w:val="1"/>
        </w:rPr>
        <w:t xml:space="preserve">ИСПОЛНЕНИЕ РАСХОДНОЙ ЧАСТИ БЮДЖЕТА    </w:t>
      </w:r>
    </w:p>
    <w:p w14:paraId="AC000000">
      <w:pPr>
        <w:spacing w:line="360" w:lineRule="auto"/>
        <w:ind/>
        <w:rPr>
          <w:b w:val="1"/>
          <w:sz w:val="28"/>
        </w:rPr>
      </w:pPr>
      <w:r>
        <w:rPr>
          <w:b w:val="1"/>
          <w:i w:val="1"/>
        </w:rPr>
        <w:t xml:space="preserve">                                        </w:t>
      </w:r>
      <w:r>
        <w:rPr>
          <w:b w:val="1"/>
          <w:i w:val="1"/>
        </w:rPr>
        <w:t xml:space="preserve">АДМИНИСТРАЦИИ МУНИЦИПАЛЬНОГО ОБРАЗОВАНИЯ «СЕЛЬСКОЕ ПОСЕЛЕНИЕ КАПУСТИНОЯРСКИЙ СЕЛЬСОВЕТ АХТУБИНСКОГО МУНИЦИПАЛЬНОГО РАЙОНА АСТРАХАНСКОЙ ОБЛАСТИ» </w:t>
      </w:r>
    </w:p>
    <w:p w14:paraId="AD000000">
      <w:pPr>
        <w:spacing w:line="360" w:lineRule="auto"/>
        <w:ind/>
        <w:jc w:val="both"/>
        <w:rPr>
          <w:color w:val="000000"/>
        </w:rPr>
      </w:pPr>
      <w:r>
        <w:rPr>
          <w:b w:val="1"/>
          <w:sz w:val="28"/>
        </w:rPr>
        <w:t xml:space="preserve">     </w:t>
      </w:r>
      <w:r>
        <w:rPr>
          <w:rFonts w:ascii="Arial" w:hAnsi="Arial"/>
          <w:sz w:val="20"/>
        </w:rPr>
        <w:t xml:space="preserve">    </w:t>
      </w:r>
      <w:r>
        <w:t>Расходы бюджета муниципального образования «Сельское поселение Капустиноярский сельсовет Ахтубинского муниципального района Астраханской области» на 2023 год утверждены в сумме 9669,72667 тыс. руб. Исполнение составило в сумме 8908,70499  или 92% .</w:t>
      </w:r>
    </w:p>
    <w:tbl>
      <w:tblPr>
        <w:tblStyle w:val="Style_3"/>
        <w:tblInd w:type="dxa" w:w="-19"/>
        <w:tblLayout w:type="fixed"/>
        <w:tblCellMar>
          <w:top w:type="dxa" w:w="0"/>
          <w:left w:type="dxa" w:w="30"/>
          <w:bottom w:type="dxa" w:w="0"/>
          <w:right w:type="dxa" w:w="30"/>
        </w:tblCellMar>
      </w:tblPr>
      <w:tblGrid>
        <w:gridCol w:w="5476"/>
        <w:gridCol w:w="1276"/>
        <w:gridCol w:w="1275"/>
        <w:gridCol w:w="1603"/>
      </w:tblGrid>
      <w:tr>
        <w:trPr>
          <w:trHeight w:hRule="atLeast" w:val="907"/>
        </w:trPr>
        <w:tc>
          <w:tcPr>
            <w:tcW w:type="dxa" w:w="5476"/>
            <w:tcBorders>
              <w:top w:color="000000" w:sz="4" w:val="single"/>
              <w:left w:color="000000" w:sz="1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AE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AF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Утвержденные бюджетные назначения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B0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Исполнено</w:t>
            </w:r>
          </w:p>
        </w:tc>
        <w:tc>
          <w:tcPr>
            <w:tcW w:type="dxa" w:w="16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B1000000">
            <w:pPr>
              <w:ind/>
              <w:jc w:val="center"/>
              <w:rPr>
                <w:b w:val="1"/>
                <w:color w:val="000000"/>
              </w:rPr>
            </w:pPr>
            <w:r>
              <w:rPr>
                <w:color w:val="000000"/>
              </w:rPr>
              <w:t xml:space="preserve">% исполнения </w:t>
            </w:r>
          </w:p>
        </w:tc>
      </w:tr>
      <w:tr>
        <w:trPr>
          <w:trHeight w:hRule="atLeast" w:val="362"/>
        </w:trPr>
        <w:tc>
          <w:tcPr>
            <w:tcW w:type="dxa" w:w="5476"/>
            <w:tcBorders>
              <w:top w:color="000000" w:sz="4" w:val="single"/>
              <w:left w:color="000000" w:sz="1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B2000000">
            <w:pPr>
              <w:rPr>
                <w:b w:val="1"/>
                <w:color w:val="000000"/>
              </w:rPr>
            </w:pPr>
            <w:r>
              <w:rPr>
                <w:b w:val="1"/>
                <w:color w:val="000000"/>
              </w:rPr>
              <w:t>Всего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B3000000">
            <w:pPr>
              <w:ind/>
              <w:jc w:val="center"/>
              <w:rPr>
                <w:b w:val="1"/>
                <w:color w:val="000000"/>
              </w:rPr>
            </w:pPr>
            <w:r>
              <w:rPr>
                <w:b w:val="1"/>
                <w:color w:val="000000"/>
              </w:rPr>
              <w:t>9669,72667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B4000000">
            <w:pPr>
              <w:ind/>
              <w:jc w:val="center"/>
              <w:rPr>
                <w:b w:val="1"/>
                <w:color w:val="000000"/>
              </w:rPr>
            </w:pPr>
            <w:r>
              <w:rPr>
                <w:b w:val="1"/>
                <w:color w:val="000000"/>
              </w:rPr>
              <w:t>8908,70499</w:t>
            </w:r>
          </w:p>
          <w:p w14:paraId="B5000000">
            <w:pPr>
              <w:ind/>
              <w:jc w:val="center"/>
              <w:rPr>
                <w:b w:val="1"/>
                <w:color w:val="000000"/>
              </w:rPr>
            </w:pPr>
          </w:p>
        </w:tc>
        <w:tc>
          <w:tcPr>
            <w:tcW w:type="dxa" w:w="16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B6000000">
            <w:pPr>
              <w:ind/>
              <w:jc w:val="center"/>
              <w:rPr>
                <w:color w:val="000000"/>
              </w:rPr>
            </w:pPr>
            <w:r>
              <w:rPr>
                <w:b w:val="1"/>
                <w:color w:val="000000"/>
              </w:rPr>
              <w:t>92</w:t>
            </w:r>
          </w:p>
        </w:tc>
      </w:tr>
      <w:tr>
        <w:trPr>
          <w:trHeight w:hRule="atLeast" w:val="974"/>
        </w:trPr>
        <w:tc>
          <w:tcPr>
            <w:tcW w:type="dxa" w:w="5476"/>
            <w:tcBorders>
              <w:top w:color="000000" w:sz="4" w:val="single"/>
              <w:left w:color="000000" w:sz="1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B7000000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B8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291,90000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B9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291,90000</w:t>
            </w:r>
          </w:p>
          <w:p w14:paraId="BA000000">
            <w:pPr>
              <w:ind/>
              <w:jc w:val="center"/>
              <w:rPr>
                <w:color w:val="000000"/>
              </w:rPr>
            </w:pPr>
          </w:p>
        </w:tc>
        <w:tc>
          <w:tcPr>
            <w:tcW w:type="dxa" w:w="16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BB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>
        <w:trPr>
          <w:trHeight w:hRule="atLeast" w:val="369"/>
        </w:trPr>
        <w:tc>
          <w:tcPr>
            <w:tcW w:type="dxa" w:w="5476"/>
            <w:tcBorders>
              <w:top w:color="000000" w:sz="4" w:val="single"/>
              <w:left w:color="000000" w:sz="1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BC000000">
            <w:pPr>
              <w:rPr>
                <w:color w:val="000000"/>
              </w:rPr>
            </w:pPr>
            <w:r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BD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705,98346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BE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705,98246</w:t>
            </w:r>
          </w:p>
        </w:tc>
        <w:tc>
          <w:tcPr>
            <w:tcW w:type="dxa" w:w="16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BF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>
        <w:trPr>
          <w:trHeight w:hRule="atLeast" w:val="505"/>
        </w:trPr>
        <w:tc>
          <w:tcPr>
            <w:tcW w:type="dxa" w:w="5476"/>
            <w:tcBorders>
              <w:top w:color="000000" w:sz="4" w:val="single"/>
              <w:left w:color="000000" w:sz="1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C0000000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 (администрация)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C1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3827,36845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C2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3506,14517</w:t>
            </w:r>
          </w:p>
          <w:p w14:paraId="C3000000">
            <w:pPr>
              <w:ind/>
              <w:jc w:val="center"/>
              <w:rPr>
                <w:color w:val="000000"/>
              </w:rPr>
            </w:pPr>
          </w:p>
        </w:tc>
        <w:tc>
          <w:tcPr>
            <w:tcW w:type="dxa" w:w="16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C4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</w:tr>
      <w:tr>
        <w:trPr>
          <w:trHeight w:hRule="atLeast" w:val="362"/>
        </w:trPr>
        <w:tc>
          <w:tcPr>
            <w:tcW w:type="dxa" w:w="5476"/>
            <w:tcBorders>
              <w:top w:color="000000" w:sz="4" w:val="single"/>
              <w:left w:color="000000" w:sz="1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C5000000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управлению и распоряжению муниципальным имуществом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C6000000">
            <w:r>
              <w:t>10,00000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C7000000">
            <w:r>
              <w:t>0,00000</w:t>
            </w:r>
          </w:p>
        </w:tc>
        <w:tc>
          <w:tcPr>
            <w:tcW w:type="dxa" w:w="16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C8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>
        <w:trPr>
          <w:trHeight w:hRule="atLeast" w:val="669"/>
        </w:trPr>
        <w:tc>
          <w:tcPr>
            <w:tcW w:type="dxa" w:w="5476"/>
            <w:tcBorders>
              <w:top w:color="000000" w:sz="4" w:val="single"/>
              <w:left w:color="000000" w:sz="1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C900000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(КСП)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CA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39,26800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CB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39,26800</w:t>
            </w:r>
          </w:p>
        </w:tc>
        <w:tc>
          <w:tcPr>
            <w:tcW w:type="dxa" w:w="16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CC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>
        <w:trPr>
          <w:trHeight w:hRule="atLeast" w:val="402"/>
        </w:trPr>
        <w:tc>
          <w:tcPr>
            <w:tcW w:type="dxa" w:w="5476"/>
            <w:tcBorders>
              <w:top w:color="000000" w:sz="4" w:val="single"/>
              <w:left w:color="000000" w:sz="1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CD000000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пожарной безопасности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CE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210,0000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CF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175,79500</w:t>
            </w:r>
          </w:p>
        </w:tc>
        <w:tc>
          <w:tcPr>
            <w:tcW w:type="dxa" w:w="16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D0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</w:tr>
      <w:tr>
        <w:trPr>
          <w:trHeight w:hRule="atLeast" w:val="272"/>
        </w:trPr>
        <w:tc>
          <w:tcPr>
            <w:tcW w:type="dxa" w:w="5476"/>
            <w:tcBorders>
              <w:top w:color="000000" w:sz="4" w:val="single"/>
              <w:left w:color="000000" w:sz="1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D1000000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D2000000">
            <w:pPr>
              <w:rPr>
                <w:color w:val="000000"/>
              </w:rPr>
            </w:pPr>
            <w:r>
              <w:rPr>
                <w:color w:val="000000"/>
              </w:rPr>
              <w:t>112,90030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D3000000">
            <w:pPr>
              <w:rPr>
                <w:color w:val="000000"/>
              </w:rPr>
            </w:pPr>
            <w:r>
              <w:rPr>
                <w:color w:val="000000"/>
              </w:rPr>
              <w:t>0,00000</w:t>
            </w:r>
          </w:p>
        </w:tc>
        <w:tc>
          <w:tcPr>
            <w:tcW w:type="dxa" w:w="16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D4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>
        <w:trPr>
          <w:trHeight w:hRule="atLeast" w:val="498"/>
          <w:hidden w:val="0"/>
        </w:trPr>
        <w:tc>
          <w:tcPr>
            <w:tcW w:type="dxa" w:w="5476"/>
            <w:tcBorders>
              <w:top w:color="000000" w:sz="4" w:val="single"/>
              <w:left w:color="000000" w:sz="1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D5000000">
            <w:pPr>
              <w:rPr>
                <w:color w:val="000000"/>
              </w:rPr>
            </w:pPr>
            <w:r>
              <w:rPr>
                <w:color w:val="000000"/>
              </w:rPr>
              <w:t>Расходы по содержанию председателя ликвидационной комиссии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D6000000">
            <w:pPr>
              <w:rPr>
                <w:color w:val="000000"/>
              </w:rPr>
            </w:pPr>
            <w:r>
              <w:rPr>
                <w:color w:val="000000"/>
              </w:rPr>
              <w:t>210,71400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D7000000">
            <w:pPr>
              <w:rPr>
                <w:color w:val="000000"/>
              </w:rPr>
            </w:pPr>
            <w:r>
              <w:rPr>
                <w:color w:val="000000"/>
              </w:rPr>
              <w:t>210,71400</w:t>
            </w:r>
          </w:p>
        </w:tc>
        <w:tc>
          <w:tcPr>
            <w:tcW w:type="dxa" w:w="16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D8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>
        <w:trPr>
          <w:trHeight w:hRule="atLeast" w:val="397"/>
          <w:hidden w:val="0"/>
        </w:trPr>
        <w:tc>
          <w:tcPr>
            <w:tcW w:type="dxa" w:w="5476"/>
            <w:tcBorders>
              <w:top w:color="000000" w:sz="4" w:val="single"/>
              <w:left w:color="000000" w:sz="1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D9000000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благоустройству территории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DA000000">
            <w:pPr>
              <w:rPr>
                <w:color w:val="000000"/>
              </w:rPr>
            </w:pPr>
            <w:r>
              <w:rPr>
                <w:color w:val="000000"/>
              </w:rPr>
              <w:t>1353,37378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DB000000">
            <w:pPr>
              <w:rPr>
                <w:color w:val="000000"/>
              </w:rPr>
            </w:pPr>
            <w:r>
              <w:rPr>
                <w:color w:val="000000"/>
              </w:rPr>
              <w:t>1070,68168</w:t>
            </w:r>
          </w:p>
        </w:tc>
        <w:tc>
          <w:tcPr>
            <w:tcW w:type="dxa" w:w="16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DC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</w:tr>
      <w:tr>
        <w:trPr>
          <w:trHeight w:hRule="atLeast" w:val="420"/>
          <w:hidden w:val="0"/>
        </w:trPr>
        <w:tc>
          <w:tcPr>
            <w:tcW w:type="dxa" w:w="5476"/>
            <w:tcBorders>
              <w:top w:color="000000" w:sz="4" w:val="single"/>
              <w:left w:color="000000" w:sz="1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DD000000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благоустройству территории в рамках программы «Формирование современной городской среды» (уличное освещение, видеокамеры)</w:t>
            </w:r>
          </w:p>
          <w:p w14:paraId="DE000000">
            <w:pPr>
              <w:rPr>
                <w:color w:val="000000"/>
              </w:rPr>
            </w:pP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DF000000">
            <w:pPr>
              <w:rPr>
                <w:color w:val="000000"/>
              </w:rPr>
            </w:pPr>
            <w:r>
              <w:rPr>
                <w:color w:val="000000"/>
              </w:rPr>
              <w:t>1600,98278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E0000000">
            <w:pPr>
              <w:rPr>
                <w:color w:val="000000"/>
              </w:rPr>
            </w:pPr>
            <w:r>
              <w:rPr>
                <w:color w:val="000000"/>
              </w:rPr>
              <w:t>1600,98278</w:t>
            </w:r>
          </w:p>
        </w:tc>
        <w:tc>
          <w:tcPr>
            <w:tcW w:type="dxa" w:w="16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E1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>
        <w:trPr>
          <w:trHeight w:hRule="atLeast" w:val="375"/>
          <w:hidden w:val="0"/>
        </w:trPr>
        <w:tc>
          <w:tcPr>
            <w:tcW w:type="dxa" w:w="5476"/>
            <w:tcBorders>
              <w:top w:color="000000" w:sz="4" w:val="single"/>
              <w:left w:color="000000" w:sz="1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E2000000">
            <w:pPr>
              <w:rPr>
                <w:color w:val="000000"/>
              </w:rPr>
            </w:pPr>
            <w:r>
              <w:rPr>
                <w:color w:val="000000"/>
              </w:rPr>
              <w:t>Иные  межбюджетные трансферты (ДК «Культура)</w:t>
            </w:r>
          </w:p>
        </w:tc>
        <w:tc>
          <w:tcPr>
            <w:tcW w:type="dxa" w:w="1276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E3000000">
            <w:pPr>
              <w:rPr>
                <w:color w:val="000000"/>
              </w:rPr>
            </w:pPr>
            <w:r>
              <w:rPr>
                <w:color w:val="000000"/>
              </w:rPr>
              <w:t>1307,23590</w:t>
            </w:r>
          </w:p>
        </w:tc>
        <w:tc>
          <w:tcPr>
            <w:tcW w:type="dxa" w:w="127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E4000000">
            <w:pPr>
              <w:rPr>
                <w:color w:val="000000"/>
              </w:rPr>
            </w:pPr>
            <w:r>
              <w:rPr>
                <w:color w:val="000000"/>
              </w:rPr>
              <w:t>1307,23590</w:t>
            </w:r>
          </w:p>
        </w:tc>
        <w:tc>
          <w:tcPr>
            <w:tcW w:type="dxa" w:w="16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30"/>
              <w:bottom w:type="dxa" w:w="0"/>
              <w:right w:type="dxa" w:w="30"/>
            </w:tcMar>
          </w:tcPr>
          <w:p w14:paraId="E5000000">
            <w:pPr>
              <w:ind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14:paraId="E6000000">
      <w:pPr>
        <w:spacing w:line="360" w:lineRule="auto"/>
        <w:ind/>
        <w:jc w:val="both"/>
      </w:pPr>
    </w:p>
    <w:p w14:paraId="E7000000">
      <w:pPr>
        <w:spacing w:line="360" w:lineRule="auto"/>
        <w:ind/>
        <w:jc w:val="both"/>
        <w:rPr>
          <w:b w:val="1"/>
          <w:i w:val="1"/>
        </w:rPr>
      </w:pPr>
      <w:r>
        <w:t xml:space="preserve">Рассматривая расходную часть бюджета </w:t>
      </w:r>
      <w:r>
        <w:t xml:space="preserve">муниципального образования «Сельское поселение Капустиноярский сельсовет Ахтубинского муниципального района Астраханской области» на 2023 год </w:t>
      </w:r>
      <w:r>
        <w:t xml:space="preserve">  по разделам и подразделам функциональной классификации прослеживаются следующие показатели:</w:t>
      </w:r>
    </w:p>
    <w:p w14:paraId="E8000000">
      <w:pPr>
        <w:numPr>
          <w:ilvl w:val="1"/>
          <w:numId w:val="4"/>
        </w:numPr>
        <w:ind/>
        <w:jc w:val="both"/>
      </w:pPr>
      <w:r>
        <w:rPr>
          <w:b w:val="1"/>
          <w:i w:val="1"/>
        </w:rPr>
        <w:t>общегосударственные вопросы (0100)</w:t>
      </w:r>
      <w:r>
        <w:t xml:space="preserve"> план – 5076,96624 тыс. руб., факт – 4598,63663 тыс. руб. исполнение 92%,</w:t>
      </w:r>
      <w:r>
        <w:rPr>
          <w:sz w:val="28"/>
        </w:rPr>
        <w:t xml:space="preserve"> </w:t>
      </w:r>
      <w:r>
        <w:t>Основные расходы: заработная плата, отчисления от ФОТ, связь, эл/энергия, канцелярские товары, обслуживание компьютерных программ и другие:</w:t>
      </w:r>
    </w:p>
    <w:p w14:paraId="E9000000">
      <w:pPr>
        <w:numPr>
          <w:ilvl w:val="1"/>
          <w:numId w:val="4"/>
        </w:numPr>
        <w:ind/>
        <w:jc w:val="both"/>
      </w:pPr>
      <w:r>
        <w:t>527,22900 тыс. руб. - на заработную плату  главы МО</w:t>
      </w:r>
    </w:p>
    <w:p w14:paraId="EA000000">
      <w:pPr>
        <w:ind/>
        <w:jc w:val="both"/>
      </w:pPr>
      <w:r>
        <w:t>159,22346 тыс. руб. -на отчисления от заработной платы  главы МО в фонды</w:t>
      </w:r>
    </w:p>
    <w:p w14:paraId="EB000000">
      <w:pPr>
        <w:ind/>
        <w:jc w:val="both"/>
      </w:pPr>
      <w:r>
        <w:t>15,00000 тыс. руб.-премия главе МО по итогам 2022 года</w:t>
      </w:r>
    </w:p>
    <w:p w14:paraId="EC000000">
      <w:pPr>
        <w:ind/>
        <w:jc w:val="both"/>
      </w:pPr>
      <w:r>
        <w:t>4,53000 тыс. руб.-на отчисления от премии главы МО по итогам 2022 года</w:t>
      </w:r>
    </w:p>
    <w:p w14:paraId="ED000000">
      <w:pPr>
        <w:ind/>
        <w:jc w:val="both"/>
      </w:pPr>
      <w:r>
        <w:t>1719,69136 тыс. руб. - на заработную плату работников аппарата</w:t>
      </w:r>
    </w:p>
    <w:p w14:paraId="EE000000">
      <w:pPr>
        <w:ind/>
        <w:jc w:val="both"/>
      </w:pPr>
      <w:r>
        <w:t>557,86821 тыс. руб. - на отчисления от заработной платы работников аппарата</w:t>
      </w:r>
    </w:p>
    <w:p w14:paraId="EF000000">
      <w:pPr>
        <w:ind/>
        <w:jc w:val="both"/>
      </w:pPr>
      <w:r>
        <w:t>32,32157 тыс. руб.-премия работникам аппарата  по итогам 2022 года</w:t>
      </w:r>
    </w:p>
    <w:p w14:paraId="F0000000">
      <w:pPr>
        <w:ind/>
        <w:jc w:val="both"/>
      </w:pPr>
      <w:r>
        <w:t>9,76112тыс. руб.-на отчисления от премии сотрудников аппарата  по итогам 2022 года</w:t>
      </w:r>
    </w:p>
    <w:p w14:paraId="F1000000">
      <w:pPr>
        <w:ind/>
        <w:jc w:val="both"/>
      </w:pPr>
      <w:r>
        <w:t>42,20024 тыс. руб. - оплата членских взносов, штрафов, пени</w:t>
      </w:r>
    </w:p>
    <w:p w14:paraId="F2000000">
      <w:pPr>
        <w:ind/>
        <w:jc w:val="both"/>
      </w:pPr>
      <w:r>
        <w:t>79,37600 тыс. руб. - оплата за обслуживание программы 1С</w:t>
      </w:r>
    </w:p>
    <w:p w14:paraId="F3000000">
      <w:pPr>
        <w:ind/>
        <w:jc w:val="both"/>
      </w:pPr>
      <w:r>
        <w:t xml:space="preserve">73,29100 тыс. руб. - приобретение хоз. товаров </w:t>
      </w:r>
    </w:p>
    <w:p w14:paraId="F4000000">
      <w:pPr>
        <w:ind/>
        <w:jc w:val="both"/>
      </w:pPr>
      <w:r>
        <w:t>65,00000 тыс. руб. - покупка ГСМ,</w:t>
      </w:r>
    </w:p>
    <w:p w14:paraId="F5000000">
      <w:pPr>
        <w:ind/>
        <w:jc w:val="both"/>
      </w:pPr>
      <w:r>
        <w:t>1,15000 тыс. руб.- покупка картриджей</w:t>
      </w:r>
    </w:p>
    <w:p w14:paraId="F6000000">
      <w:pPr>
        <w:ind/>
        <w:jc w:val="both"/>
      </w:pPr>
      <w:r>
        <w:t>8,62500 тыс. руб. - оплата за обслуживание программу СКБ Контур</w:t>
      </w:r>
    </w:p>
    <w:p w14:paraId="F7000000">
      <w:pPr>
        <w:ind/>
        <w:jc w:val="both"/>
      </w:pPr>
      <w:r>
        <w:t>18,90000 -повышение квалификации сотрудника</w:t>
      </w:r>
    </w:p>
    <w:p w14:paraId="F8000000">
      <w:pPr>
        <w:ind/>
        <w:jc w:val="both"/>
      </w:pPr>
      <w:r>
        <w:t>3,00000 тыс. руб. - обслуживание огнетушителей</w:t>
      </w:r>
    </w:p>
    <w:p w14:paraId="F9000000">
      <w:pPr>
        <w:ind/>
        <w:jc w:val="both"/>
      </w:pPr>
      <w:r>
        <w:t>7,49881 тыс. руб. – техническое обслуживание газового оборудования</w:t>
      </w:r>
    </w:p>
    <w:p w14:paraId="FA000000">
      <w:pPr>
        <w:ind/>
        <w:jc w:val="both"/>
      </w:pPr>
      <w:r>
        <w:t>2,80000 тыс. руб. - заправка картриджей</w:t>
      </w:r>
    </w:p>
    <w:p w14:paraId="FB000000">
      <w:pPr>
        <w:ind/>
        <w:jc w:val="both"/>
      </w:pPr>
      <w:r>
        <w:t>65,48445 тыс. руб. - оплата за поставку газа</w:t>
      </w:r>
    </w:p>
    <w:p w14:paraId="FC000000">
      <w:pPr>
        <w:ind/>
        <w:jc w:val="both"/>
      </w:pPr>
      <w:r>
        <w:t>76,93345 тыс. руб. - услуги связи</w:t>
      </w:r>
    </w:p>
    <w:p w14:paraId="FD000000">
      <w:pPr>
        <w:ind/>
        <w:jc w:val="both"/>
      </w:pPr>
      <w:r>
        <w:t>121,64854 тыс.  руб. - за поставку электроэнергии</w:t>
      </w:r>
    </w:p>
    <w:p w14:paraId="FE000000">
      <w:pPr>
        <w:ind/>
        <w:jc w:val="both"/>
        <w:rPr>
          <w:b w:val="1"/>
          <w:i w:val="1"/>
        </w:rPr>
      </w:pPr>
      <w:r>
        <w:t xml:space="preserve">301,36000 тыс. руб.-приобретение осн. средств </w:t>
      </w:r>
    </w:p>
    <w:p w14:paraId="FF000000">
      <w:pPr>
        <w:ind/>
        <w:jc w:val="both"/>
        <w:rPr>
          <w:b w:val="0"/>
          <w:i w:val="1"/>
        </w:rPr>
      </w:pPr>
      <w:r>
        <w:rPr>
          <w:b w:val="0"/>
          <w:i w:val="1"/>
        </w:rPr>
        <w:t>81,80000 тыс. руб.– оплата услуг системного администратора</w:t>
      </w:r>
    </w:p>
    <w:p w14:paraId="00010000">
      <w:pPr>
        <w:ind/>
        <w:jc w:val="both"/>
        <w:rPr>
          <w:b w:val="0"/>
          <w:i w:val="1"/>
        </w:rPr>
      </w:pPr>
      <w:r>
        <w:rPr>
          <w:b w:val="0"/>
          <w:i w:val="1"/>
        </w:rPr>
        <w:t>18,30000 тыс. руб.-у</w:t>
      </w:r>
      <w:r>
        <w:t>слуги по техническому обслуживанию и поддержке корпоротивного интернет-сайта</w:t>
      </w:r>
    </w:p>
    <w:p w14:paraId="01010000">
      <w:pPr>
        <w:ind/>
        <w:jc w:val="both"/>
        <w:rPr>
          <w:b w:val="0"/>
          <w:i w:val="1"/>
        </w:rPr>
      </w:pPr>
      <w:r>
        <w:rPr>
          <w:b w:val="0"/>
          <w:i w:val="1"/>
        </w:rPr>
        <w:t>3,51000 тыс. руб.-о</w:t>
      </w:r>
      <w:r>
        <w:t>казание услуг по размещению информационных материалов</w:t>
      </w:r>
    </w:p>
    <w:p w14:paraId="02010000">
      <w:pPr>
        <w:ind/>
        <w:jc w:val="both"/>
        <w:rPr>
          <w:b w:val="0"/>
          <w:i w:val="1"/>
        </w:rPr>
      </w:pPr>
      <w:r>
        <w:rPr>
          <w:b w:val="0"/>
          <w:i w:val="1"/>
        </w:rPr>
        <w:t>21,69786 тыс. руб.-к</w:t>
      </w:r>
      <w:r>
        <w:t xml:space="preserve">адастровые работы по образованию земельного участка </w:t>
      </w:r>
    </w:p>
    <w:p w14:paraId="03010000">
      <w:pPr>
        <w:ind/>
        <w:jc w:val="both"/>
        <w:rPr>
          <w:b w:val="0"/>
          <w:i w:val="1"/>
        </w:rPr>
      </w:pPr>
      <w:r>
        <w:rPr>
          <w:b w:val="0"/>
          <w:i w:val="1"/>
        </w:rPr>
        <w:t>59,50000 тыс. руб.-р</w:t>
      </w:r>
      <w:r>
        <w:t>азработка сметной документации по объекту "Благоустройство (устройство) территории площади перед Домом Культуры села Капустин Яр Ахтубинского района Астраханской области (не является объектом капитальных вложений)</w:t>
      </w:r>
    </w:p>
    <w:p w14:paraId="04010000">
      <w:pPr>
        <w:ind/>
        <w:jc w:val="both"/>
        <w:rPr>
          <w:b w:val="0"/>
          <w:i w:val="1"/>
        </w:rPr>
      </w:pPr>
      <w:r>
        <w:rPr>
          <w:b w:val="0"/>
          <w:i w:val="1"/>
        </w:rPr>
        <w:t>2,26440 тыс.руб.-т</w:t>
      </w:r>
      <w:r>
        <w:t>ехническое обслуживание (калибровка по месту установки порога срабатывания) и поверке сигнализаторов загазованности и систем аварийного отключения газа</w:t>
      </w:r>
    </w:p>
    <w:p w14:paraId="05010000">
      <w:pPr>
        <w:ind/>
        <w:jc w:val="both"/>
        <w:rPr>
          <w:b w:val="0"/>
          <w:i w:val="1"/>
        </w:rPr>
      </w:pPr>
      <w:r>
        <w:rPr>
          <w:b w:val="0"/>
          <w:i w:val="1"/>
        </w:rPr>
        <w:t>57,80000 тыс. руб.-у</w:t>
      </w:r>
      <w:r>
        <w:t>слуги по адаптации, модификации и сопровождению программных продуктов системы "1С:Предприятие"</w:t>
      </w:r>
    </w:p>
    <w:p w14:paraId="06010000">
      <w:pPr>
        <w:ind/>
        <w:jc w:val="both"/>
        <w:rPr>
          <w:b w:val="0"/>
          <w:i w:val="1"/>
        </w:rPr>
      </w:pPr>
      <w:r>
        <w:rPr>
          <w:b w:val="0"/>
          <w:i w:val="1"/>
        </w:rPr>
        <w:t>48,00000 тыс. руб.-пожарная сигнализация</w:t>
      </w:r>
    </w:p>
    <w:p w14:paraId="07010000">
      <w:pPr>
        <w:ind/>
        <w:jc w:val="both"/>
        <w:rPr>
          <w:b w:val="0"/>
          <w:i w:val="1"/>
        </w:rPr>
      </w:pPr>
      <w:r>
        <w:rPr>
          <w:b w:val="0"/>
          <w:i w:val="1"/>
        </w:rPr>
        <w:t>26,92838 тыс.руб.-оплата по договорам ГПХ</w:t>
      </w:r>
    </w:p>
    <w:p w14:paraId="08010000">
      <w:pPr>
        <w:ind/>
        <w:jc w:val="both"/>
        <w:rPr>
          <w:b w:val="0"/>
          <w:i w:val="1"/>
        </w:rPr>
      </w:pPr>
      <w:r>
        <w:rPr>
          <w:b w:val="0"/>
          <w:i w:val="1"/>
        </w:rPr>
        <w:t>7,75000 тыс. руб.-</w:t>
      </w:r>
      <w:r>
        <w:t>изготовление продукции(таблички. герба. фото с ламинацией, флага с древком)</w:t>
      </w:r>
    </w:p>
    <w:p w14:paraId="09010000">
      <w:pPr>
        <w:ind/>
        <w:jc w:val="both"/>
        <w:rPr>
          <w:b w:val="0"/>
          <w:i w:val="1"/>
        </w:rPr>
      </w:pPr>
      <w:r>
        <w:rPr>
          <w:b w:val="0"/>
          <w:i w:val="1"/>
        </w:rPr>
        <w:t>134,20000 тыс. руб.-п</w:t>
      </w:r>
      <w:r>
        <w:t>редоставление права использования программы для ЭВМ "Информационно - правовая системв "Консалтинг" (ИПС "Консалтинг")</w:t>
      </w:r>
    </w:p>
    <w:p w14:paraId="0A010000">
      <w:pPr>
        <w:ind/>
        <w:jc w:val="both"/>
        <w:rPr>
          <w:b w:val="0"/>
          <w:i w:val="1"/>
        </w:rPr>
      </w:pPr>
      <w:r>
        <w:rPr>
          <w:b w:val="0"/>
          <w:i w:val="1"/>
        </w:rPr>
        <w:t>2,90000 тыс. руб.-у</w:t>
      </w:r>
      <w:r>
        <w:t>слуги по изготовлению дверей</w:t>
      </w:r>
    </w:p>
    <w:p w14:paraId="0B010000">
      <w:pPr>
        <w:ind/>
        <w:jc w:val="both"/>
        <w:rPr>
          <w:b w:val="0"/>
          <w:i w:val="1"/>
        </w:rPr>
      </w:pPr>
    </w:p>
    <w:p w14:paraId="0C010000">
      <w:pPr>
        <w:ind/>
        <w:jc w:val="both"/>
        <w:rPr>
          <w:b w:val="0"/>
          <w:i w:val="1"/>
        </w:rPr>
      </w:pPr>
      <w:r>
        <w:rPr>
          <w:b w:val="1"/>
          <w:i w:val="1"/>
        </w:rPr>
        <w:t>национальная оборона (0200)</w:t>
      </w:r>
      <w:r>
        <w:t xml:space="preserve"> план – 291,90000 тыс. руб., факт – 291,90000 тыс. руб. исполнение 100%, расходы на осуществление первичного воинского учета. В том числе:</w:t>
      </w:r>
    </w:p>
    <w:p w14:paraId="0D010000">
      <w:pPr>
        <w:ind/>
        <w:jc w:val="both"/>
      </w:pPr>
      <w:r>
        <w:t>192,21140 тыс. руб. -  на заработную плату работника ВУС</w:t>
      </w:r>
    </w:p>
    <w:p w14:paraId="0E010000">
      <w:pPr>
        <w:ind/>
        <w:jc w:val="both"/>
        <w:rPr>
          <w:b w:val="1"/>
          <w:i w:val="1"/>
        </w:rPr>
      </w:pPr>
      <w:r>
        <w:t>58,04784 тыс. руб. -  на отчисления от заработной платы работника ВУС</w:t>
      </w:r>
    </w:p>
    <w:p w14:paraId="0F010000">
      <w:pPr>
        <w:ind/>
        <w:jc w:val="both"/>
        <w:rPr>
          <w:b w:val="0"/>
          <w:i w:val="1"/>
        </w:rPr>
      </w:pPr>
      <w:r>
        <w:rPr>
          <w:b w:val="0"/>
          <w:i w:val="1"/>
        </w:rPr>
        <w:t>-26,64076 тыс. руб.-прочие закупки товаров</w:t>
      </w:r>
    </w:p>
    <w:p w14:paraId="10010000">
      <w:pPr>
        <w:ind/>
        <w:jc w:val="both"/>
        <w:rPr>
          <w:b w:val="0"/>
          <w:i w:val="1"/>
        </w:rPr>
      </w:pPr>
      <w:r>
        <w:rPr>
          <w:b w:val="0"/>
          <w:i w:val="1"/>
        </w:rPr>
        <w:t>15,00000 тыс. руб.-закупка энергетических ресурсов</w:t>
      </w:r>
    </w:p>
    <w:p w14:paraId="11010000">
      <w:pPr>
        <w:numPr>
          <w:ilvl w:val="2"/>
          <w:numId w:val="5"/>
        </w:numPr>
        <w:ind/>
        <w:jc w:val="both"/>
        <w:rPr>
          <w:b w:val="0"/>
          <w:i w:val="0"/>
        </w:rPr>
      </w:pPr>
      <w:r>
        <w:rPr>
          <w:b w:val="1"/>
          <w:i w:val="1"/>
        </w:rPr>
        <w:t>жилищно-коммунальное хозяйство (0500)</w:t>
      </w:r>
      <w:r>
        <w:t xml:space="preserve"> план – 2954,35656 тыс. руб., факт – 2671,66446 тыс. руб., исполнение 90%. Основные расходы:</w:t>
      </w:r>
    </w:p>
    <w:p w14:paraId="12010000">
      <w:pPr>
        <w:ind/>
        <w:jc w:val="both"/>
        <w:rPr>
          <w:b w:val="1"/>
          <w:i w:val="1"/>
        </w:rPr>
      </w:pPr>
      <w:r>
        <w:rPr>
          <w:b w:val="0"/>
          <w:i w:val="0"/>
        </w:rPr>
        <w:t>629,96168 тыс. руб. - оплата электроэнергии уличного освещения</w:t>
      </w:r>
    </w:p>
    <w:p w14:paraId="13010000">
      <w:pPr>
        <w:ind/>
        <w:jc w:val="both"/>
        <w:rPr>
          <w:b w:val="0"/>
          <w:i w:val="1"/>
        </w:rPr>
      </w:pPr>
      <w:r>
        <w:rPr>
          <w:b w:val="0"/>
          <w:i w:val="1"/>
        </w:rPr>
        <w:t>398,72000 тыс. руб.– прочая закупка товаров, работ и услуг</w:t>
      </w:r>
    </w:p>
    <w:p w14:paraId="14010000">
      <w:pPr>
        <w:ind/>
        <w:jc w:val="both"/>
        <w:rPr>
          <w:b w:val="0"/>
          <w:i w:val="1"/>
        </w:rPr>
      </w:pPr>
      <w:r>
        <w:rPr>
          <w:b w:val="0"/>
          <w:i w:val="1"/>
        </w:rPr>
        <w:t>42,00000  тыс.руб – закпка товаро, работ и услуг</w:t>
      </w:r>
    </w:p>
    <w:p w14:paraId="15010000">
      <w:pPr>
        <w:ind/>
        <w:jc w:val="both"/>
        <w:rPr>
          <w:b w:val="0"/>
          <w:i w:val="1"/>
        </w:rPr>
      </w:pPr>
      <w:r>
        <w:rPr>
          <w:b w:val="0"/>
          <w:i w:val="1"/>
        </w:rPr>
        <w:t>1600,985278 тыс. руб.– уличное освещение, видеокамеры</w:t>
      </w:r>
    </w:p>
    <w:p w14:paraId="16010000">
      <w:pPr>
        <w:numPr>
          <w:ilvl w:val="0"/>
          <w:numId w:val="6"/>
        </w:numPr>
        <w:ind/>
        <w:jc w:val="both"/>
        <w:rPr>
          <w:b w:val="1"/>
          <w:i w:val="1"/>
        </w:rPr>
      </w:pPr>
      <w:r>
        <w:rPr>
          <w:b w:val="1"/>
          <w:i w:val="1"/>
        </w:rPr>
        <w:t>межбюджетные трансферты (0106)</w:t>
      </w:r>
      <w:r>
        <w:t xml:space="preserve"> план – 39,26800 тыс. руб., факт – 39,26800 тыс. руб., исполнение 100%;</w:t>
      </w:r>
      <w:r>
        <w:rPr>
          <w:b w:val="1"/>
          <w:i w:val="1"/>
        </w:rPr>
        <w:t xml:space="preserve"> </w:t>
      </w:r>
      <w:r>
        <w:rPr>
          <w:b w:val="0"/>
          <w:i w:val="0"/>
        </w:rPr>
        <w:t xml:space="preserve">Оплата в рамках соглашения контрольно-счетной палате МО «Ахтубинский район» по осуществлению внешнего муниципального финансового контроля </w:t>
      </w:r>
    </w:p>
    <w:p w14:paraId="17010000">
      <w:pPr>
        <w:numPr>
          <w:ilvl w:val="0"/>
          <w:numId w:val="6"/>
        </w:numPr>
        <w:ind/>
        <w:jc w:val="both"/>
        <w:rPr>
          <w:b w:val="0"/>
          <w:i w:val="1"/>
        </w:rPr>
      </w:pPr>
      <w:r>
        <w:rPr>
          <w:b w:val="1"/>
          <w:i w:val="1"/>
        </w:rPr>
        <w:t>межбюджетные трансферты (0801)</w:t>
      </w:r>
      <w:r>
        <w:t xml:space="preserve"> план – 1307,23590 тыс. руб., факт – 1307,23590 тыс.руб., </w:t>
      </w:r>
      <w:r>
        <w:t>исполнение 100%</w:t>
      </w:r>
      <w:r>
        <w:rPr>
          <w:b w:val="1"/>
          <w:i w:val="1"/>
        </w:rPr>
        <w:t xml:space="preserve">. </w:t>
      </w:r>
      <w:r>
        <w:rPr>
          <w:b w:val="0"/>
          <w:i w:val="1"/>
        </w:rPr>
        <w:t>Оплата в рамках соглашения  о передачи части собственных полномочий в сфере культуры.</w:t>
      </w:r>
    </w:p>
    <w:p w14:paraId="18010000">
      <w:pPr>
        <w:ind/>
        <w:jc w:val="both"/>
        <w:rPr>
          <w:b w:val="0"/>
          <w:i w:val="1"/>
        </w:rPr>
      </w:pPr>
      <w:r>
        <w:rPr>
          <w:b w:val="0"/>
          <w:i w:val="1"/>
        </w:rPr>
        <w:t>Остаток денежных средств по состоянию на 01.01.2024 г.-288,16284</w:t>
      </w:r>
    </w:p>
    <w:p w14:paraId="19010000">
      <w:pPr>
        <w:ind/>
        <w:jc w:val="both"/>
        <w:rPr>
          <w:b w:val="0"/>
          <w:i w:val="1"/>
        </w:rPr>
      </w:pPr>
    </w:p>
    <w:p w14:paraId="1A010000">
      <w:pPr>
        <w:ind/>
        <w:jc w:val="both"/>
        <w:rPr>
          <w:rFonts w:ascii="Arial" w:hAnsi="Arial"/>
          <w:sz w:val="20"/>
        </w:rPr>
      </w:pPr>
      <w:r>
        <w:t xml:space="preserve">   По состоянию на 31.12.2023 муниципального внутреннего долга </w:t>
      </w:r>
      <w:r>
        <w:t>муниципального образования «Сельское поселение Капустиноярский сельсовет Ахтубинского муниципального района Астраханской области» нет.</w:t>
      </w:r>
    </w:p>
    <w:p w14:paraId="1B010000">
      <w:pPr>
        <w:ind/>
        <w:jc w:val="both"/>
        <w:rPr>
          <w:rFonts w:ascii="Arial" w:hAnsi="Arial"/>
          <w:sz w:val="20"/>
        </w:rPr>
      </w:pPr>
    </w:p>
    <w:p w14:paraId="1C010000">
      <w:pPr>
        <w:ind w:firstLine="0" w:left="360" w:right="0"/>
      </w:pPr>
    </w:p>
    <w:p w14:paraId="1D010000">
      <w:pPr>
        <w:rPr>
          <w:b w:val="1"/>
          <w:sz w:val="28"/>
        </w:rPr>
      </w:pPr>
      <w:r>
        <w:t xml:space="preserve">  Глава администрации                                                             В.С. Игнатенко</w:t>
      </w:r>
    </w:p>
    <w:p w14:paraId="1E010000">
      <w:pPr>
        <w:spacing w:line="360" w:lineRule="auto"/>
        <w:ind/>
        <w:jc w:val="both"/>
        <w:rPr>
          <w:b w:val="1"/>
          <w:sz w:val="28"/>
        </w:rPr>
      </w:pPr>
    </w:p>
    <w:p w14:paraId="1F010000">
      <w:pPr>
        <w:spacing w:line="360" w:lineRule="auto"/>
        <w:ind/>
        <w:jc w:val="both"/>
      </w:pPr>
      <w:r>
        <w:t xml:space="preserve">   Исполнитель:                                                                            К.Ж. Кабдулова</w:t>
      </w:r>
    </w:p>
    <w:sectPr>
      <w:headerReference r:id="rId3" w:type="default"/>
      <w:footerReference r:id="rId4" w:type="default"/>
      <w:pgSz w:h="16838" w:orient="portrait" w:w="11906"/>
      <w:pgMar w:bottom="776" w:footer="720" w:header="567" w:left="1134" w:right="851" w:top="623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2"/>
    </w:pPr>
  </w:p>
</w:ftr>
</file>

<file path=word/footer4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4000000"/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ind w:firstLine="0" w:left="0" w:right="360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lvlText w:val=""/>
      <w:lvlJc w:val="left"/>
      <w:pPr>
        <w:tabs>
          <w:tab w:leader="none" w:pos="720" w:val="left"/>
        </w:tabs>
        <w:ind w:hanging="360" w:left="72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leader="none" w:pos="1080" w:val="left"/>
        </w:tabs>
        <w:ind w:hanging="360" w:left="108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leader="none" w:pos="1440" w:val="left"/>
        </w:tabs>
        <w:ind w:hanging="360" w:left="144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leader="none" w:pos="1800" w:val="left"/>
        </w:tabs>
        <w:ind w:hanging="360" w:left="180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leader="none" w:pos="2160" w:val="left"/>
        </w:tabs>
        <w:ind w:hanging="360" w:left="21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leader="none" w:pos="2520" w:val="left"/>
        </w:tabs>
        <w:ind w:hanging="360" w:left="252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leader="none" w:pos="2880" w:val="left"/>
        </w:tabs>
        <w:ind w:hanging="360" w:left="288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leader="none" w:pos="3240" w:val="left"/>
        </w:tabs>
        <w:ind w:hanging="360" w:left="324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leader="none" w:pos="3600" w:val="left"/>
        </w:tabs>
        <w:ind w:hanging="360" w:left="3600"/>
      </w:pPr>
      <w:rPr>
        <w:rFonts w:ascii="Symbol" w:hAnsi="Symbol"/>
      </w:rPr>
    </w:lvl>
  </w:abstractNum>
  <w:abstractNum w:abstractNumId="1">
    <w:lvl w:ilvl="0">
      <w:start w:val="1"/>
      <w:numFmt w:val="bullet"/>
      <w:lvlText w:val=""/>
      <w:lvlJc w:val="left"/>
      <w:pPr>
        <w:tabs>
          <w:tab w:leader="none" w:pos="720" w:val="left"/>
        </w:tabs>
        <w:ind w:hanging="360" w:left="72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leader="none" w:pos="1080" w:val="left"/>
        </w:tabs>
        <w:ind w:hanging="360" w:left="108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leader="none" w:pos="1440" w:val="left"/>
        </w:tabs>
        <w:ind w:hanging="360" w:left="144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leader="none" w:pos="1800" w:val="left"/>
        </w:tabs>
        <w:ind w:hanging="360" w:left="180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leader="none" w:pos="2160" w:val="left"/>
        </w:tabs>
        <w:ind w:hanging="360" w:left="21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leader="none" w:pos="2520" w:val="left"/>
        </w:tabs>
        <w:ind w:hanging="360" w:left="252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leader="none" w:pos="2880" w:val="left"/>
        </w:tabs>
        <w:ind w:hanging="360" w:left="288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leader="none" w:pos="3240" w:val="left"/>
        </w:tabs>
        <w:ind w:hanging="360" w:left="324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leader="none" w:pos="3600" w:val="left"/>
        </w:tabs>
        <w:ind w:hanging="360" w:left="3600"/>
      </w:pPr>
      <w:rPr>
        <w:rFonts w:ascii="Symbol" w:hAnsi="Symbol"/>
      </w:rPr>
    </w:lvl>
  </w:abstractNum>
  <w:abstractNum w:abstractNumId="2">
    <w:lvl w:ilvl="0">
      <w:start w:val="1"/>
      <w:numFmt w:val="bullet"/>
      <w:lvlText w:val=""/>
      <w:lvlJc w:val="left"/>
      <w:pPr>
        <w:tabs>
          <w:tab w:leader="none" w:pos="720" w:val="left"/>
        </w:tabs>
        <w:ind w:hanging="360" w:left="72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leader="none" w:pos="1080" w:val="left"/>
        </w:tabs>
        <w:ind w:hanging="360" w:left="108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leader="none" w:pos="1440" w:val="left"/>
        </w:tabs>
        <w:ind w:hanging="360" w:left="144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leader="none" w:pos="1800" w:val="left"/>
        </w:tabs>
        <w:ind w:hanging="360" w:left="180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leader="none" w:pos="2160" w:val="left"/>
        </w:tabs>
        <w:ind w:hanging="360" w:left="21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leader="none" w:pos="2520" w:val="left"/>
        </w:tabs>
        <w:ind w:hanging="360" w:left="252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leader="none" w:pos="2880" w:val="left"/>
        </w:tabs>
        <w:ind w:hanging="360" w:left="288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leader="none" w:pos="3240" w:val="left"/>
        </w:tabs>
        <w:ind w:hanging="360" w:left="324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leader="none" w:pos="3600" w:val="left"/>
        </w:tabs>
        <w:ind w:hanging="360" w:left="3600"/>
      </w:pPr>
      <w:rPr>
        <w:rFonts w:ascii="Symbol" w:hAnsi="Symbol"/>
      </w:rPr>
    </w:lvl>
  </w:abstractNum>
  <w:abstractNum w:abstractNumId="3">
    <w:lvl w:ilvl="0">
      <w:start w:val="1"/>
      <w:numFmt w:val="bullet"/>
      <w:lvlText w:val=""/>
      <w:lvlJc w:val="left"/>
      <w:pPr>
        <w:tabs>
          <w:tab w:leader="none" w:pos="720" w:val="left"/>
        </w:tabs>
        <w:ind w:hanging="360" w:left="72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leader="none" w:pos="1080" w:val="left"/>
        </w:tabs>
        <w:ind w:hanging="360" w:left="108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leader="none" w:pos="1440" w:val="left"/>
        </w:tabs>
        <w:ind w:hanging="360" w:left="144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leader="none" w:pos="1800" w:val="left"/>
        </w:tabs>
        <w:ind w:hanging="360" w:left="180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leader="none" w:pos="2160" w:val="left"/>
        </w:tabs>
        <w:ind w:hanging="360" w:left="21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leader="none" w:pos="2520" w:val="left"/>
        </w:tabs>
        <w:ind w:hanging="360" w:left="252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leader="none" w:pos="2880" w:val="left"/>
        </w:tabs>
        <w:ind w:hanging="360" w:left="288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leader="none" w:pos="3240" w:val="left"/>
        </w:tabs>
        <w:ind w:hanging="360" w:left="324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leader="none" w:pos="3600" w:val="left"/>
        </w:tabs>
        <w:ind w:hanging="360" w:left="3600"/>
      </w:pPr>
      <w:rPr>
        <w:rFonts w:ascii="Symbol" w:hAnsi="Symbol"/>
      </w:rPr>
    </w:lvl>
  </w:abstractNum>
  <w:abstractNum w:abstractNumId="4">
    <w:lvl w:ilvl="0">
      <w:start w:val="1"/>
      <w:numFmt w:val="bullet"/>
      <w:lvlText w:val=""/>
      <w:lvlJc w:val="left"/>
      <w:pPr>
        <w:tabs>
          <w:tab w:leader="none" w:pos="720" w:val="left"/>
        </w:tabs>
        <w:ind w:hanging="360" w:left="72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leader="none" w:pos="1080" w:val="left"/>
        </w:tabs>
        <w:ind w:hanging="360" w:left="108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leader="none" w:pos="1440" w:val="left"/>
        </w:tabs>
        <w:ind w:hanging="360" w:left="144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leader="none" w:pos="1800" w:val="left"/>
        </w:tabs>
        <w:ind w:hanging="360" w:left="180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leader="none" w:pos="2160" w:val="left"/>
        </w:tabs>
        <w:ind w:hanging="360" w:left="21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leader="none" w:pos="2520" w:val="left"/>
        </w:tabs>
        <w:ind w:hanging="360" w:left="252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leader="none" w:pos="2880" w:val="left"/>
        </w:tabs>
        <w:ind w:hanging="360" w:left="288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leader="none" w:pos="3240" w:val="left"/>
        </w:tabs>
        <w:ind w:hanging="360" w:left="324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leader="none" w:pos="3600" w:val="left"/>
        </w:tabs>
        <w:ind w:hanging="360" w:left="3600"/>
      </w:pPr>
      <w:rPr>
        <w:rFonts w:ascii="Symbol" w:hAnsi="Symbol"/>
      </w:rPr>
    </w:lvl>
  </w:abstractNum>
  <w:abstractNum w:abstractNumId="5">
    <w:lvl w:ilvl="0">
      <w:start w:val="1"/>
      <w:numFmt w:val="bullet"/>
      <w:lvlText w:val=""/>
      <w:lvlJc w:val="left"/>
      <w:pPr>
        <w:tabs>
          <w:tab w:leader="none" w:pos="720" w:val="left"/>
        </w:tabs>
        <w:ind w:hanging="360" w:left="72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leader="none" w:pos="1080" w:val="left"/>
        </w:tabs>
        <w:ind w:hanging="360" w:left="108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leader="none" w:pos="1440" w:val="left"/>
        </w:tabs>
        <w:ind w:hanging="360" w:left="144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leader="none" w:pos="1800" w:val="left"/>
        </w:tabs>
        <w:ind w:hanging="360" w:left="180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leader="none" w:pos="2160" w:val="left"/>
        </w:tabs>
        <w:ind w:hanging="360" w:left="21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leader="none" w:pos="2520" w:val="left"/>
        </w:tabs>
        <w:ind w:hanging="360" w:left="252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leader="none" w:pos="2880" w:val="left"/>
        </w:tabs>
        <w:ind w:hanging="360" w:left="288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leader="none" w:pos="3240" w:val="left"/>
        </w:tabs>
        <w:ind w:hanging="360" w:left="324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leader="none" w:pos="3600" w:val="left"/>
        </w:tabs>
        <w:ind w:hanging="360" w:left="3600"/>
      </w:pPr>
      <w:rPr>
        <w:rFonts w:ascii="Symbol" w:hAnsi="Symbol"/>
      </w:rPr>
    </w:lvl>
  </w:abstractNum>
  <w:abstractNum w:abstractNumId="6">
    <w:lvl w:ilvl="0">
      <w:start w:val="1"/>
      <w:numFmt w:val="decimal"/>
      <w:pStyle w:val="Style_48"/>
      <w:lvlJc w:val="left"/>
      <w:pPr>
        <w:tabs>
          <w:tab w:leader="none" w:pos="0" w:val="left"/>
        </w:tabs>
        <w:ind w:hanging="432" w:left="432"/>
      </w:pPr>
    </w:lvl>
    <w:lvl w:ilvl="1">
      <w:start w:val="1"/>
      <w:numFmt w:val="decimal"/>
      <w:lvlJc w:val="left"/>
      <w:pPr>
        <w:tabs>
          <w:tab w:leader="none" w:pos="0" w:val="left"/>
        </w:tabs>
        <w:ind w:hanging="576" w:left="576"/>
      </w:pPr>
    </w:lvl>
    <w:lvl w:ilvl="2">
      <w:start w:val="1"/>
      <w:numFmt w:val="decimal"/>
      <w:lvlJc w:val="left"/>
      <w:pPr>
        <w:tabs>
          <w:tab w:leader="none" w:pos="0" w:val="left"/>
        </w:tabs>
        <w:ind w:hanging="720" w:left="720"/>
      </w:pPr>
    </w:lvl>
    <w:lvl w:ilvl="3">
      <w:start w:val="1"/>
      <w:numFmt w:val="decimal"/>
      <w:lvlJc w:val="left"/>
      <w:pPr>
        <w:tabs>
          <w:tab w:leader="none" w:pos="0" w:val="left"/>
        </w:tabs>
        <w:ind w:hanging="864" w:left="864"/>
      </w:pPr>
    </w:lvl>
    <w:lvl w:ilvl="4">
      <w:start w:val="1"/>
      <w:numFmt w:val="decimal"/>
      <w:lvlJc w:val="left"/>
      <w:pPr>
        <w:tabs>
          <w:tab w:leader="none" w:pos="0" w:val="left"/>
        </w:tabs>
        <w:ind w:hanging="1008" w:left="1008"/>
      </w:pPr>
    </w:lvl>
    <w:lvl w:ilvl="5">
      <w:start w:val="1"/>
      <w:numFmt w:val="decimal"/>
      <w:lvlJc w:val="left"/>
      <w:pPr>
        <w:tabs>
          <w:tab w:leader="none" w:pos="0" w:val="left"/>
        </w:tabs>
        <w:ind w:hanging="1152" w:left="1152"/>
      </w:pPr>
    </w:lvl>
    <w:lvl w:ilvl="6">
      <w:start w:val="1"/>
      <w:numFmt w:val="decimal"/>
      <w:lvlJc w:val="left"/>
      <w:pPr>
        <w:tabs>
          <w:tab w:leader="none" w:pos="0" w:val="left"/>
        </w:tabs>
        <w:ind w:hanging="1296" w:left="1296"/>
      </w:pPr>
    </w:lvl>
    <w:lvl w:ilvl="7">
      <w:start w:val="1"/>
      <w:numFmt w:val="decimal"/>
      <w:lvlJc w:val="left"/>
      <w:pPr>
        <w:tabs>
          <w:tab w:leader="none" w:pos="0" w:val="left"/>
        </w:tabs>
        <w:ind w:hanging="1440" w:left="1440"/>
      </w:pPr>
    </w:lvl>
    <w:lvl w:ilvl="8">
      <w:start w:val="1"/>
      <w:numFmt w:val="decimal"/>
      <w:lvlJc w:val="left"/>
      <w:pPr>
        <w:tabs>
          <w:tab w:leader="none" w:pos="0" w:val="left"/>
        </w:tabs>
        <w:ind w:hanging="1584" w:left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widowControl w:val="1"/>
      <w:ind/>
    </w:pPr>
    <w:rPr>
      <w:rFonts w:ascii="Times New Roman" w:hAnsi="Times New Roman"/>
      <w:color w:val="000000"/>
      <w:sz w:val="24"/>
    </w:rPr>
  </w:style>
  <w:style w:default="1" w:styleId="Style_4_ch" w:type="character">
    <w:name w:val="Normal"/>
    <w:link w:val="Style_4"/>
    <w:rPr>
      <w:rFonts w:ascii="Times New Roman" w:hAnsi="Times New Roman"/>
      <w:color w:val="000000"/>
      <w:sz w:val="24"/>
    </w:rPr>
  </w:style>
  <w:style w:styleId="Style_5" w:type="paragraph">
    <w:name w:val="WW8Num2z2"/>
    <w:link w:val="Style_5_ch"/>
    <w:rPr>
      <w:rFonts w:ascii="Wingdings" w:hAnsi="Wingdings"/>
    </w:rPr>
  </w:style>
  <w:style w:styleId="Style_5_ch" w:type="character">
    <w:name w:val="WW8Num2z2"/>
    <w:link w:val="Style_5"/>
    <w:rPr>
      <w:rFonts w:ascii="Wingdings" w:hAnsi="Wingdings"/>
    </w:rPr>
  </w:style>
  <w:style w:styleId="Style_6" w:type="paragraph">
    <w:name w:val="toc 2"/>
    <w:next w:val="Style_4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ConsNormal"/>
    <w:link w:val="Style_7_ch"/>
    <w:pPr>
      <w:widowControl w:val="0"/>
      <w:ind w:firstLine="720" w:left="0" w:right="19772"/>
    </w:pPr>
    <w:rPr>
      <w:rFonts w:ascii="Arial" w:hAnsi="Arial"/>
      <w:color w:val="000000"/>
      <w:sz w:val="20"/>
    </w:rPr>
  </w:style>
  <w:style w:styleId="Style_7_ch" w:type="character">
    <w:name w:val="ConsNormal"/>
    <w:link w:val="Style_7"/>
    <w:rPr>
      <w:rFonts w:ascii="Arial" w:hAnsi="Arial"/>
      <w:color w:val="000000"/>
      <w:sz w:val="20"/>
    </w:rPr>
  </w:style>
  <w:style w:styleId="Style_8" w:type="paragraph">
    <w:name w:val="WW8Num9z0"/>
    <w:link w:val="Style_8_ch"/>
    <w:rPr>
      <w:rFonts w:ascii="Symbol" w:hAnsi="Symbol"/>
    </w:rPr>
  </w:style>
  <w:style w:styleId="Style_8_ch" w:type="character">
    <w:name w:val="WW8Num9z0"/>
    <w:link w:val="Style_8"/>
    <w:rPr>
      <w:rFonts w:ascii="Symbol" w:hAnsi="Symbol"/>
    </w:rPr>
  </w:style>
  <w:style w:styleId="Style_9" w:type="paragraph">
    <w:name w:val="toc 4"/>
    <w:next w:val="Style_4"/>
    <w:link w:val="Style_9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Заголовок таблицы"/>
    <w:basedOn w:val="Style_11"/>
    <w:link w:val="Style_10_ch"/>
    <w:pPr>
      <w:ind/>
      <w:jc w:val="center"/>
    </w:pPr>
    <w:rPr>
      <w:b w:val="1"/>
    </w:rPr>
  </w:style>
  <w:style w:styleId="Style_10_ch" w:type="character">
    <w:name w:val="Заголовок таблицы"/>
    <w:basedOn w:val="Style_11_ch"/>
    <w:link w:val="Style_10"/>
    <w:rPr>
      <w:b w:val="1"/>
    </w:rPr>
  </w:style>
  <w:style w:styleId="Style_12" w:type="paragraph">
    <w:name w:val="WW8Num4z0"/>
    <w:link w:val="Style_12_ch"/>
    <w:rPr>
      <w:rFonts w:ascii="Symbol" w:hAnsi="Symbol"/>
    </w:rPr>
  </w:style>
  <w:style w:styleId="Style_12_ch" w:type="character">
    <w:name w:val="WW8Num4z0"/>
    <w:link w:val="Style_12"/>
    <w:rPr>
      <w:rFonts w:ascii="Symbol" w:hAnsi="Symbol"/>
    </w:rPr>
  </w:style>
  <w:style w:styleId="Style_13" w:type="paragraph">
    <w:name w:val="WW8Num2z0"/>
    <w:link w:val="Style_13_ch"/>
    <w:rPr>
      <w:rFonts w:ascii="Symbol" w:hAnsi="Symbol"/>
    </w:rPr>
  </w:style>
  <w:style w:styleId="Style_13_ch" w:type="character">
    <w:name w:val="WW8Num2z0"/>
    <w:link w:val="Style_13"/>
    <w:rPr>
      <w:rFonts w:ascii="Symbol" w:hAnsi="Symbol"/>
    </w:rPr>
  </w:style>
  <w:style w:styleId="Style_14" w:type="paragraph">
    <w:name w:val="toc 6"/>
    <w:next w:val="Style_4"/>
    <w:link w:val="Style_1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4_ch" w:type="character">
    <w:name w:val="toc 6"/>
    <w:link w:val="Style_14"/>
    <w:rPr>
      <w:rFonts w:ascii="XO Thames" w:hAnsi="XO Thames"/>
      <w:sz w:val="28"/>
    </w:rPr>
  </w:style>
  <w:style w:styleId="Style_15" w:type="paragraph">
    <w:name w:val="WW8Num17z1"/>
    <w:link w:val="Style_15_ch"/>
    <w:rPr>
      <w:rFonts w:ascii="Courier New" w:hAnsi="Courier New"/>
    </w:rPr>
  </w:style>
  <w:style w:styleId="Style_15_ch" w:type="character">
    <w:name w:val="WW8Num17z1"/>
    <w:link w:val="Style_15"/>
    <w:rPr>
      <w:rFonts w:ascii="Courier New" w:hAnsi="Courier New"/>
    </w:rPr>
  </w:style>
  <w:style w:styleId="Style_16" w:type="paragraph">
    <w:name w:val="toc 7"/>
    <w:next w:val="Style_4"/>
    <w:link w:val="Style_1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6_ch" w:type="character">
    <w:name w:val="toc 7"/>
    <w:link w:val="Style_16"/>
    <w:rPr>
      <w:rFonts w:ascii="XO Thames" w:hAnsi="XO Thames"/>
      <w:sz w:val="28"/>
    </w:rPr>
  </w:style>
  <w:style w:styleId="Style_17" w:type="paragraph">
    <w:name w:val="WW8Num9z2"/>
    <w:link w:val="Style_17_ch"/>
    <w:rPr>
      <w:rFonts w:ascii="Wingdings" w:hAnsi="Wingdings"/>
    </w:rPr>
  </w:style>
  <w:style w:styleId="Style_17_ch" w:type="character">
    <w:name w:val="WW8Num9z2"/>
    <w:link w:val="Style_17"/>
    <w:rPr>
      <w:rFonts w:ascii="Wingdings" w:hAnsi="Wingdings"/>
    </w:rPr>
  </w:style>
  <w:style w:styleId="Style_18" w:type="paragraph">
    <w:name w:val="Текст выноски"/>
    <w:basedOn w:val="Style_4"/>
    <w:link w:val="Style_18_ch"/>
    <w:rPr>
      <w:rFonts w:ascii="Tahoma" w:hAnsi="Tahoma"/>
      <w:sz w:val="16"/>
    </w:rPr>
  </w:style>
  <w:style w:styleId="Style_18_ch" w:type="character">
    <w:name w:val="Текст выноски"/>
    <w:basedOn w:val="Style_4_ch"/>
    <w:link w:val="Style_18"/>
    <w:rPr>
      <w:rFonts w:ascii="Tahoma" w:hAnsi="Tahoma"/>
      <w:sz w:val="16"/>
    </w:rPr>
  </w:style>
  <w:style w:styleId="Style_19" w:type="paragraph">
    <w:name w:val="line number"/>
    <w:link w:val="Style_19_ch"/>
  </w:style>
  <w:style w:styleId="Style_19_ch" w:type="character">
    <w:name w:val="line number"/>
    <w:link w:val="Style_19"/>
  </w:style>
  <w:style w:styleId="Style_20" w:type="paragraph">
    <w:name w:val="WW8Num14z0"/>
    <w:link w:val="Style_20_ch"/>
    <w:rPr>
      <w:rFonts w:ascii="Symbol" w:hAnsi="Symbol"/>
    </w:rPr>
  </w:style>
  <w:style w:styleId="Style_20_ch" w:type="character">
    <w:name w:val="WW8Num14z0"/>
    <w:link w:val="Style_20"/>
    <w:rPr>
      <w:rFonts w:ascii="Symbol" w:hAnsi="Symbol"/>
    </w:rPr>
  </w:style>
  <w:style w:styleId="Style_11" w:type="paragraph">
    <w:name w:val="Содержимое таблицы"/>
    <w:basedOn w:val="Style_4"/>
    <w:link w:val="Style_11_ch"/>
  </w:style>
  <w:style w:styleId="Style_11_ch" w:type="character">
    <w:name w:val="Содержимое таблицы"/>
    <w:basedOn w:val="Style_4_ch"/>
    <w:link w:val="Style_11"/>
  </w:style>
  <w:style w:styleId="Style_21" w:type="paragraph">
    <w:name w:val="WW8Num20z2"/>
    <w:link w:val="Style_21_ch"/>
    <w:rPr>
      <w:rFonts w:ascii="Wingdings" w:hAnsi="Wingdings"/>
    </w:rPr>
  </w:style>
  <w:style w:styleId="Style_21_ch" w:type="character">
    <w:name w:val="WW8Num20z2"/>
    <w:link w:val="Style_21"/>
    <w:rPr>
      <w:rFonts w:ascii="Wingdings" w:hAnsi="Wingdings"/>
    </w:rPr>
  </w:style>
  <w:style w:styleId="Style_22" w:type="paragraph">
    <w:name w:val="heading 3"/>
    <w:next w:val="Style_4"/>
    <w:link w:val="Style_2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22_ch" w:type="character">
    <w:name w:val="heading 3"/>
    <w:link w:val="Style_22"/>
    <w:rPr>
      <w:rFonts w:ascii="XO Thames" w:hAnsi="XO Thames"/>
      <w:b w:val="1"/>
      <w:sz w:val="26"/>
    </w:rPr>
  </w:style>
  <w:style w:styleId="Style_23" w:type="paragraph">
    <w:name w:val="Заголовок"/>
    <w:basedOn w:val="Style_4"/>
    <w:next w:val="Style_24"/>
    <w:link w:val="Style_23_ch"/>
    <w:pPr>
      <w:keepNext w:val="1"/>
      <w:spacing w:after="120" w:before="240"/>
      <w:ind/>
    </w:pPr>
    <w:rPr>
      <w:rFonts w:ascii="Arial" w:hAnsi="Arial"/>
      <w:sz w:val="28"/>
    </w:rPr>
  </w:style>
  <w:style w:styleId="Style_23_ch" w:type="character">
    <w:name w:val="Заголовок"/>
    <w:basedOn w:val="Style_4_ch"/>
    <w:link w:val="Style_23"/>
    <w:rPr>
      <w:rFonts w:ascii="Arial" w:hAnsi="Arial"/>
      <w:sz w:val="28"/>
    </w:rPr>
  </w:style>
  <w:style w:styleId="Style_25" w:type="paragraph">
    <w:name w:val="WW8Num13z0"/>
    <w:link w:val="Style_25_ch"/>
    <w:rPr>
      <w:rFonts w:ascii="Symbol" w:hAnsi="Symbol"/>
    </w:rPr>
  </w:style>
  <w:style w:styleId="Style_25_ch" w:type="character">
    <w:name w:val="WW8Num13z0"/>
    <w:link w:val="Style_25"/>
    <w:rPr>
      <w:rFonts w:ascii="Symbol" w:hAnsi="Symbol"/>
    </w:rPr>
  </w:style>
  <w:style w:styleId="Style_26" w:type="paragraph">
    <w:name w:val="WW8Num21z0"/>
    <w:link w:val="Style_26_ch"/>
    <w:rPr>
      <w:rFonts w:ascii="Symbol" w:hAnsi="Symbol"/>
    </w:rPr>
  </w:style>
  <w:style w:styleId="Style_26_ch" w:type="character">
    <w:name w:val="WW8Num21z0"/>
    <w:link w:val="Style_26"/>
    <w:rPr>
      <w:rFonts w:ascii="Symbol" w:hAnsi="Symbol"/>
    </w:rPr>
  </w:style>
  <w:style w:styleId="Style_27" w:type="paragraph">
    <w:name w:val="WW8Num10z0"/>
    <w:link w:val="Style_27_ch"/>
    <w:rPr>
      <w:rFonts w:ascii="Symbol" w:hAnsi="Symbol"/>
    </w:rPr>
  </w:style>
  <w:style w:styleId="Style_27_ch" w:type="character">
    <w:name w:val="WW8Num10z0"/>
    <w:link w:val="Style_27"/>
    <w:rPr>
      <w:rFonts w:ascii="Symbol" w:hAnsi="Symbol"/>
    </w:rPr>
  </w:style>
  <w:style w:styleId="Style_28" w:type="paragraph">
    <w:name w:val="Body Text Indent"/>
    <w:basedOn w:val="Style_4"/>
    <w:link w:val="Style_28_ch"/>
    <w:pPr>
      <w:spacing w:line="360" w:lineRule="auto"/>
      <w:ind w:firstLine="540" w:left="0" w:right="0"/>
      <w:jc w:val="both"/>
    </w:pPr>
    <w:rPr>
      <w:color w:val="FF0000"/>
    </w:rPr>
  </w:style>
  <w:style w:styleId="Style_28_ch" w:type="character">
    <w:name w:val="Body Text Indent"/>
    <w:basedOn w:val="Style_4_ch"/>
    <w:link w:val="Style_28"/>
    <w:rPr>
      <w:color w:val="FF0000"/>
    </w:rPr>
  </w:style>
  <w:style w:styleId="Style_29" w:type="paragraph">
    <w:name w:val="WW8Num1z5"/>
    <w:link w:val="Style_29_ch"/>
    <w:rPr>
      <w:rFonts w:ascii="Wingdings" w:hAnsi="Wingdings"/>
    </w:rPr>
  </w:style>
  <w:style w:styleId="Style_29_ch" w:type="character">
    <w:name w:val="WW8Num1z5"/>
    <w:link w:val="Style_29"/>
    <w:rPr>
      <w:rFonts w:ascii="Wingdings" w:hAnsi="Wingdings"/>
    </w:rPr>
  </w:style>
  <w:style w:styleId="Style_30" w:type="paragraph">
    <w:name w:val="ConsTitle"/>
    <w:link w:val="Style_30_ch"/>
    <w:pPr>
      <w:widowControl w:val="0"/>
      <w:ind w:firstLine="0" w:left="0" w:right="19772"/>
    </w:pPr>
    <w:rPr>
      <w:rFonts w:ascii="Arial" w:hAnsi="Arial"/>
      <w:b w:val="1"/>
      <w:color w:val="000000"/>
      <w:sz w:val="20"/>
    </w:rPr>
  </w:style>
  <w:style w:styleId="Style_30_ch" w:type="character">
    <w:name w:val="ConsTitle"/>
    <w:link w:val="Style_30"/>
    <w:rPr>
      <w:rFonts w:ascii="Arial" w:hAnsi="Arial"/>
      <w:b w:val="1"/>
      <w:color w:val="000000"/>
      <w:sz w:val="20"/>
    </w:rPr>
  </w:style>
  <w:style w:styleId="Style_31" w:type="paragraph">
    <w:name w:val="Основной шрифт абзаца"/>
    <w:link w:val="Style_31_ch"/>
  </w:style>
  <w:style w:styleId="Style_31_ch" w:type="character">
    <w:name w:val="Основной шрифт абзаца"/>
    <w:link w:val="Style_31"/>
  </w:style>
  <w:style w:styleId="Style_32" w:type="paragraph">
    <w:name w:val="WW8Num1z0"/>
    <w:link w:val="Style_32_ch"/>
    <w:rPr>
      <w:rFonts w:ascii="Symbol" w:hAnsi="Symbol"/>
    </w:rPr>
  </w:style>
  <w:style w:styleId="Style_32_ch" w:type="character">
    <w:name w:val="WW8Num1z0"/>
    <w:link w:val="Style_32"/>
    <w:rPr>
      <w:rFonts w:ascii="Symbol" w:hAnsi="Symbol"/>
    </w:rPr>
  </w:style>
  <w:style w:styleId="Style_33" w:type="paragraph">
    <w:name w:val="Указатель"/>
    <w:basedOn w:val="Style_4"/>
    <w:link w:val="Style_33_ch"/>
  </w:style>
  <w:style w:styleId="Style_33_ch" w:type="character">
    <w:name w:val="Указатель"/>
    <w:basedOn w:val="Style_4_ch"/>
    <w:link w:val="Style_33"/>
  </w:style>
  <w:style w:styleId="Style_34" w:type="paragraph">
    <w:name w:val="WW8Num16z0"/>
    <w:link w:val="Style_34_ch"/>
    <w:rPr>
      <w:rFonts w:ascii="Courier New" w:hAnsi="Courier New"/>
    </w:rPr>
  </w:style>
  <w:style w:styleId="Style_34_ch" w:type="character">
    <w:name w:val="WW8Num16z0"/>
    <w:link w:val="Style_34"/>
    <w:rPr>
      <w:rFonts w:ascii="Courier New" w:hAnsi="Courier New"/>
    </w:rPr>
  </w:style>
  <w:style w:styleId="Style_35" w:type="paragraph">
    <w:name w:val="WW8Num5z1"/>
    <w:link w:val="Style_35_ch"/>
    <w:rPr>
      <w:rFonts w:ascii="Courier New" w:hAnsi="Courier New"/>
    </w:rPr>
  </w:style>
  <w:style w:styleId="Style_35_ch" w:type="character">
    <w:name w:val="WW8Num5z1"/>
    <w:link w:val="Style_35"/>
    <w:rPr>
      <w:rFonts w:ascii="Courier New" w:hAnsi="Courier New"/>
    </w:rPr>
  </w:style>
  <w:style w:styleId="Style_36" w:type="paragraph">
    <w:name w:val="WW8Num19z0"/>
    <w:link w:val="Style_36_ch"/>
    <w:rPr>
      <w:rFonts w:ascii="Symbol" w:hAnsi="Symbol"/>
    </w:rPr>
  </w:style>
  <w:style w:styleId="Style_36_ch" w:type="character">
    <w:name w:val="WW8Num19z0"/>
    <w:link w:val="Style_36"/>
    <w:rPr>
      <w:rFonts w:ascii="Symbol" w:hAnsi="Symbol"/>
    </w:rPr>
  </w:style>
  <w:style w:styleId="Style_37" w:type="paragraph">
    <w:name w:val="WW8Num17z0"/>
    <w:link w:val="Style_37_ch"/>
    <w:rPr>
      <w:rFonts w:ascii="Symbol" w:hAnsi="Symbol"/>
    </w:rPr>
  </w:style>
  <w:style w:styleId="Style_37_ch" w:type="character">
    <w:name w:val="WW8Num17z0"/>
    <w:link w:val="Style_37"/>
    <w:rPr>
      <w:rFonts w:ascii="Symbol" w:hAnsi="Symbol"/>
    </w:rPr>
  </w:style>
  <w:style w:styleId="Style_38" w:type="paragraph">
    <w:name w:val="toc 3"/>
    <w:next w:val="Style_4"/>
    <w:link w:val="Style_3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38_ch" w:type="character">
    <w:name w:val="toc 3"/>
    <w:link w:val="Style_38"/>
    <w:rPr>
      <w:rFonts w:ascii="XO Thames" w:hAnsi="XO Thames"/>
      <w:sz w:val="28"/>
    </w:rPr>
  </w:style>
  <w:style w:styleId="Style_2" w:type="paragraph">
    <w:name w:val="footer"/>
    <w:basedOn w:val="Style_4"/>
    <w:link w:val="Style_2_ch"/>
    <w:pPr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4_ch"/>
    <w:link w:val="Style_2"/>
  </w:style>
  <w:style w:styleId="Style_39" w:type="paragraph">
    <w:name w:val="WW8Num20z0"/>
    <w:link w:val="Style_39_ch"/>
    <w:rPr>
      <w:rFonts w:ascii="Symbol" w:hAnsi="Symbol"/>
    </w:rPr>
  </w:style>
  <w:style w:styleId="Style_39_ch" w:type="character">
    <w:name w:val="WW8Num20z0"/>
    <w:link w:val="Style_39"/>
    <w:rPr>
      <w:rFonts w:ascii="Symbol" w:hAnsi="Symbol"/>
    </w:rPr>
  </w:style>
  <w:style w:styleId="Style_40" w:type="paragraph">
    <w:name w:val="Default Paragraph Font_0"/>
    <w:link w:val="Style_40_ch"/>
    <w:rPr>
      <w:sz w:val="22"/>
    </w:rPr>
  </w:style>
  <w:style w:styleId="Style_40_ch" w:type="character">
    <w:name w:val="Default Paragraph Font_0"/>
    <w:link w:val="Style_40"/>
    <w:rPr>
      <w:sz w:val="22"/>
    </w:rPr>
  </w:style>
  <w:style w:styleId="Style_41" w:type="paragraph">
    <w:name w:val="WW8Num13z2"/>
    <w:link w:val="Style_41_ch"/>
    <w:rPr>
      <w:rFonts w:ascii="Wingdings" w:hAnsi="Wingdings"/>
    </w:rPr>
  </w:style>
  <w:style w:styleId="Style_41_ch" w:type="character">
    <w:name w:val="WW8Num13z2"/>
    <w:link w:val="Style_41"/>
    <w:rPr>
      <w:rFonts w:ascii="Wingdings" w:hAnsi="Wingdings"/>
    </w:rPr>
  </w:style>
  <w:style w:styleId="Style_42" w:type="paragraph">
    <w:name w:val="Название"/>
    <w:basedOn w:val="Style_4"/>
    <w:link w:val="Style_42_ch"/>
    <w:pPr>
      <w:spacing w:after="120" w:before="120"/>
      <w:ind/>
    </w:pPr>
    <w:rPr>
      <w:i w:val="1"/>
      <w:sz w:val="24"/>
    </w:rPr>
  </w:style>
  <w:style w:styleId="Style_42_ch" w:type="character">
    <w:name w:val="Название"/>
    <w:basedOn w:val="Style_4_ch"/>
    <w:link w:val="Style_42"/>
    <w:rPr>
      <w:i w:val="1"/>
      <w:sz w:val="24"/>
    </w:rPr>
  </w:style>
  <w:style w:styleId="Style_43" w:type="paragraph">
    <w:name w:val="WW8Num1z4"/>
    <w:link w:val="Style_43_ch"/>
    <w:rPr>
      <w:rFonts w:ascii="Courier New" w:hAnsi="Courier New"/>
    </w:rPr>
  </w:style>
  <w:style w:styleId="Style_43_ch" w:type="character">
    <w:name w:val="WW8Num1z4"/>
    <w:link w:val="Style_43"/>
    <w:rPr>
      <w:rFonts w:ascii="Courier New" w:hAnsi="Courier New"/>
    </w:rPr>
  </w:style>
  <w:style w:styleId="Style_44" w:type="paragraph">
    <w:name w:val="WW8Num20z1"/>
    <w:link w:val="Style_44_ch"/>
    <w:rPr>
      <w:rFonts w:ascii="Courier New" w:hAnsi="Courier New"/>
    </w:rPr>
  </w:style>
  <w:style w:styleId="Style_44_ch" w:type="character">
    <w:name w:val="WW8Num20z1"/>
    <w:link w:val="Style_44"/>
    <w:rPr>
      <w:rFonts w:ascii="Courier New" w:hAnsi="Courier New"/>
    </w:rPr>
  </w:style>
  <w:style w:styleId="Style_45" w:type="paragraph">
    <w:name w:val="heading 5"/>
    <w:next w:val="Style_4"/>
    <w:link w:val="Style_4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45_ch" w:type="character">
    <w:name w:val="heading 5"/>
    <w:link w:val="Style_45"/>
    <w:rPr>
      <w:rFonts w:ascii="XO Thames" w:hAnsi="XO Thames"/>
      <w:b w:val="1"/>
      <w:sz w:val="22"/>
    </w:rPr>
  </w:style>
  <w:style w:styleId="Style_46" w:type="paragraph">
    <w:name w:val="ConsCell"/>
    <w:link w:val="Style_46_ch"/>
    <w:pPr>
      <w:widowControl w:val="0"/>
      <w:ind w:firstLine="0" w:left="0" w:right="19772"/>
    </w:pPr>
    <w:rPr>
      <w:rFonts w:ascii="Arial" w:hAnsi="Arial"/>
      <w:color w:val="000000"/>
      <w:sz w:val="20"/>
    </w:rPr>
  </w:style>
  <w:style w:styleId="Style_46_ch" w:type="character">
    <w:name w:val="ConsCell"/>
    <w:link w:val="Style_46"/>
    <w:rPr>
      <w:rFonts w:ascii="Arial" w:hAnsi="Arial"/>
      <w:color w:val="000000"/>
      <w:sz w:val="20"/>
    </w:rPr>
  </w:style>
  <w:style w:styleId="Style_47" w:type="paragraph">
    <w:name w:val="WW8Num3z0"/>
    <w:link w:val="Style_47_ch"/>
    <w:rPr>
      <w:rFonts w:ascii="Symbol" w:hAnsi="Symbol"/>
    </w:rPr>
  </w:style>
  <w:style w:styleId="Style_47_ch" w:type="character">
    <w:name w:val="WW8Num3z0"/>
    <w:link w:val="Style_47"/>
    <w:rPr>
      <w:rFonts w:ascii="Symbol" w:hAnsi="Symbol"/>
    </w:rPr>
  </w:style>
  <w:style w:styleId="Style_48" w:type="paragraph">
    <w:name w:val="heading 1"/>
    <w:basedOn w:val="Style_4"/>
    <w:next w:val="Style_4"/>
    <w:link w:val="Style_48_ch"/>
    <w:uiPriority w:val="9"/>
    <w:qFormat/>
    <w:pPr>
      <w:keepNext w:val="1"/>
      <w:numPr>
        <w:ilvl w:val="0"/>
        <w:numId w:val="7"/>
      </w:numPr>
      <w:spacing w:line="360" w:lineRule="auto"/>
      <w:ind/>
      <w:jc w:val="both"/>
      <w:outlineLvl w:val="0"/>
    </w:pPr>
    <w:rPr>
      <w:sz w:val="28"/>
    </w:rPr>
  </w:style>
  <w:style w:styleId="Style_48_ch" w:type="character">
    <w:name w:val="heading 1"/>
    <w:basedOn w:val="Style_4_ch"/>
    <w:link w:val="Style_48"/>
    <w:rPr>
      <w:sz w:val="28"/>
    </w:rPr>
  </w:style>
  <w:style w:styleId="Style_49" w:type="paragraph">
    <w:name w:val="WW8Num18z1"/>
    <w:link w:val="Style_49_ch"/>
    <w:rPr>
      <w:rFonts w:ascii="Courier New" w:hAnsi="Courier New"/>
    </w:rPr>
  </w:style>
  <w:style w:styleId="Style_49_ch" w:type="character">
    <w:name w:val="WW8Num18z1"/>
    <w:link w:val="Style_49"/>
    <w:rPr>
      <w:rFonts w:ascii="Courier New" w:hAnsi="Courier New"/>
    </w:rPr>
  </w:style>
  <w:style w:styleId="Style_50" w:type="paragraph">
    <w:name w:val="WW8Num4z2"/>
    <w:link w:val="Style_50_ch"/>
    <w:rPr>
      <w:rFonts w:ascii="Wingdings" w:hAnsi="Wingdings"/>
    </w:rPr>
  </w:style>
  <w:style w:styleId="Style_50_ch" w:type="character">
    <w:name w:val="WW8Num4z2"/>
    <w:link w:val="Style_50"/>
    <w:rPr>
      <w:rFonts w:ascii="Wingdings" w:hAnsi="Wingdings"/>
    </w:rPr>
  </w:style>
  <w:style w:styleId="Style_51" w:type="paragraph">
    <w:name w:val="WW8Num6z0"/>
    <w:link w:val="Style_51_ch"/>
    <w:rPr>
      <w:rFonts w:ascii="Symbol" w:hAnsi="Symbol"/>
    </w:rPr>
  </w:style>
  <w:style w:styleId="Style_51_ch" w:type="character">
    <w:name w:val="WW8Num6z0"/>
    <w:link w:val="Style_51"/>
    <w:rPr>
      <w:rFonts w:ascii="Symbol" w:hAnsi="Symbol"/>
    </w:rPr>
  </w:style>
  <w:style w:styleId="Style_52" w:type="paragraph">
    <w:name w:val="Содержимое врезки"/>
    <w:basedOn w:val="Style_24"/>
    <w:link w:val="Style_52_ch"/>
  </w:style>
  <w:style w:styleId="Style_52_ch" w:type="character">
    <w:name w:val="Содержимое врезки"/>
    <w:basedOn w:val="Style_24_ch"/>
    <w:link w:val="Style_52"/>
  </w:style>
  <w:style w:styleId="Style_53" w:type="paragraph">
    <w:name w:val="Hyperlink"/>
    <w:link w:val="Style_53_ch"/>
    <w:rPr>
      <w:color w:val="000080"/>
      <w:u w:val="single"/>
    </w:rPr>
  </w:style>
  <w:style w:styleId="Style_53_ch" w:type="character">
    <w:name w:val="Hyperlink"/>
    <w:link w:val="Style_53"/>
    <w:rPr>
      <w:color w:val="000080"/>
      <w:u w:val="single"/>
    </w:rPr>
  </w:style>
  <w:style w:styleId="Style_54" w:type="paragraph">
    <w:name w:val="Footnote"/>
    <w:link w:val="Style_54_ch"/>
    <w:pPr>
      <w:ind w:firstLine="851" w:left="0"/>
      <w:jc w:val="both"/>
    </w:pPr>
    <w:rPr>
      <w:rFonts w:ascii="XO Thames" w:hAnsi="XO Thames"/>
      <w:sz w:val="22"/>
    </w:rPr>
  </w:style>
  <w:style w:styleId="Style_54_ch" w:type="character">
    <w:name w:val="Footnote"/>
    <w:link w:val="Style_54"/>
    <w:rPr>
      <w:rFonts w:ascii="XO Thames" w:hAnsi="XO Thames"/>
      <w:sz w:val="22"/>
    </w:rPr>
  </w:style>
  <w:style w:styleId="Style_55" w:type="paragraph">
    <w:name w:val="WW8Num7z1"/>
    <w:link w:val="Style_55_ch"/>
    <w:rPr>
      <w:rFonts w:ascii="Courier New" w:hAnsi="Courier New"/>
    </w:rPr>
  </w:style>
  <w:style w:styleId="Style_55_ch" w:type="character">
    <w:name w:val="WW8Num7z1"/>
    <w:link w:val="Style_55"/>
    <w:rPr>
      <w:rFonts w:ascii="Courier New" w:hAnsi="Courier New"/>
    </w:rPr>
  </w:style>
  <w:style w:styleId="Style_56" w:type="paragraph">
    <w:name w:val="Основной текст с отступом 2"/>
    <w:basedOn w:val="Style_4"/>
    <w:link w:val="Style_56_ch"/>
    <w:pPr>
      <w:spacing w:line="360" w:lineRule="auto"/>
      <w:ind w:firstLine="540" w:left="0" w:right="0"/>
      <w:jc w:val="both"/>
    </w:pPr>
  </w:style>
  <w:style w:styleId="Style_56_ch" w:type="character">
    <w:name w:val="Основной текст с отступом 2"/>
    <w:basedOn w:val="Style_4_ch"/>
    <w:link w:val="Style_56"/>
  </w:style>
  <w:style w:styleId="Style_57" w:type="paragraph">
    <w:name w:val="toc 1"/>
    <w:next w:val="Style_4"/>
    <w:link w:val="Style_5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57_ch" w:type="character">
    <w:name w:val="toc 1"/>
    <w:link w:val="Style_57"/>
    <w:rPr>
      <w:rFonts w:ascii="XO Thames" w:hAnsi="XO Thames"/>
      <w:b w:val="1"/>
      <w:sz w:val="28"/>
    </w:rPr>
  </w:style>
  <w:style w:styleId="Style_58" w:type="paragraph">
    <w:name w:val="WW8Num9z1"/>
    <w:link w:val="Style_58_ch"/>
    <w:rPr>
      <w:rFonts w:ascii="Courier New" w:hAnsi="Courier New"/>
    </w:rPr>
  </w:style>
  <w:style w:styleId="Style_58_ch" w:type="character">
    <w:name w:val="WW8Num9z1"/>
    <w:link w:val="Style_58"/>
    <w:rPr>
      <w:rFonts w:ascii="Courier New" w:hAnsi="Courier New"/>
    </w:rPr>
  </w:style>
  <w:style w:styleId="Style_59" w:type="paragraph">
    <w:name w:val="Header and Footer"/>
    <w:link w:val="Style_59_ch"/>
    <w:pPr>
      <w:spacing w:line="240" w:lineRule="auto"/>
      <w:ind/>
      <w:jc w:val="both"/>
    </w:pPr>
    <w:rPr>
      <w:rFonts w:ascii="XO Thames" w:hAnsi="XO Thames"/>
      <w:sz w:val="20"/>
    </w:rPr>
  </w:style>
  <w:style w:styleId="Style_59_ch" w:type="character">
    <w:name w:val="Header and Footer"/>
    <w:link w:val="Style_59"/>
    <w:rPr>
      <w:rFonts w:ascii="XO Thames" w:hAnsi="XO Thames"/>
      <w:sz w:val="20"/>
    </w:rPr>
  </w:style>
  <w:style w:styleId="Style_60" w:type="paragraph">
    <w:name w:val="Маркеры списка"/>
    <w:link w:val="Style_60_ch"/>
    <w:rPr>
      <w:rFonts w:ascii="OpenSymbol" w:hAnsi="OpenSymbol"/>
    </w:rPr>
  </w:style>
  <w:style w:styleId="Style_60_ch" w:type="character">
    <w:name w:val="Маркеры списка"/>
    <w:link w:val="Style_60"/>
    <w:rPr>
      <w:rFonts w:ascii="OpenSymbol" w:hAnsi="OpenSymbol"/>
    </w:rPr>
  </w:style>
  <w:style w:styleId="Style_61" w:type="paragraph">
    <w:name w:val="WW8Num23z1"/>
    <w:link w:val="Style_61_ch"/>
    <w:rPr>
      <w:rFonts w:ascii="Courier New" w:hAnsi="Courier New"/>
    </w:rPr>
  </w:style>
  <w:style w:styleId="Style_61_ch" w:type="character">
    <w:name w:val="WW8Num23z1"/>
    <w:link w:val="Style_61"/>
    <w:rPr>
      <w:rFonts w:ascii="Courier New" w:hAnsi="Courier New"/>
    </w:rPr>
  </w:style>
  <w:style w:styleId="Style_62" w:type="paragraph">
    <w:name w:val="WW8Num23z2"/>
    <w:link w:val="Style_62_ch"/>
    <w:rPr>
      <w:rFonts w:ascii="Wingdings" w:hAnsi="Wingdings"/>
    </w:rPr>
  </w:style>
  <w:style w:styleId="Style_62_ch" w:type="character">
    <w:name w:val="WW8Num23z2"/>
    <w:link w:val="Style_62"/>
    <w:rPr>
      <w:rFonts w:ascii="Wingdings" w:hAnsi="Wingdings"/>
    </w:rPr>
  </w:style>
  <w:style w:styleId="Style_63" w:type="paragraph">
    <w:name w:val="WW8Num22z1"/>
    <w:link w:val="Style_63_ch"/>
    <w:rPr>
      <w:rFonts w:ascii="Courier New" w:hAnsi="Courier New"/>
    </w:rPr>
  </w:style>
  <w:style w:styleId="Style_63_ch" w:type="character">
    <w:name w:val="WW8Num22z1"/>
    <w:link w:val="Style_63"/>
    <w:rPr>
      <w:rFonts w:ascii="Courier New" w:hAnsi="Courier New"/>
    </w:rPr>
  </w:style>
  <w:style w:styleId="Style_64" w:type="paragraph">
    <w:name w:val="toc 9"/>
    <w:next w:val="Style_4"/>
    <w:link w:val="Style_6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64_ch" w:type="character">
    <w:name w:val="toc 9"/>
    <w:link w:val="Style_64"/>
    <w:rPr>
      <w:rFonts w:ascii="XO Thames" w:hAnsi="XO Thames"/>
      <w:sz w:val="28"/>
    </w:rPr>
  </w:style>
  <w:style w:styleId="Style_65" w:type="paragraph">
    <w:name w:val="WW8Num7z0"/>
    <w:link w:val="Style_65_ch"/>
    <w:rPr>
      <w:rFonts w:ascii="Symbol" w:hAnsi="Symbol"/>
    </w:rPr>
  </w:style>
  <w:style w:styleId="Style_65_ch" w:type="character">
    <w:name w:val="WW8Num7z0"/>
    <w:link w:val="Style_65"/>
    <w:rPr>
      <w:rFonts w:ascii="Symbol" w:hAnsi="Symbol"/>
    </w:rPr>
  </w:style>
  <w:style w:styleId="Style_66" w:type="paragraph">
    <w:name w:val="Default Paragraph Font"/>
    <w:link w:val="Style_66_ch"/>
  </w:style>
  <w:style w:styleId="Style_66_ch" w:type="character">
    <w:name w:val="Default Paragraph Font"/>
    <w:link w:val="Style_66"/>
  </w:style>
  <w:style w:styleId="Style_24" w:type="paragraph">
    <w:name w:val="Body Text"/>
    <w:basedOn w:val="Style_4"/>
    <w:link w:val="Style_24_ch"/>
    <w:rPr>
      <w:sz w:val="28"/>
    </w:rPr>
  </w:style>
  <w:style w:styleId="Style_24_ch" w:type="character">
    <w:name w:val="Body Text"/>
    <w:basedOn w:val="Style_4_ch"/>
    <w:link w:val="Style_24"/>
    <w:rPr>
      <w:sz w:val="28"/>
    </w:rPr>
  </w:style>
  <w:style w:styleId="Style_67" w:type="paragraph">
    <w:name w:val="WW8Num16z2"/>
    <w:link w:val="Style_67_ch"/>
    <w:rPr>
      <w:rFonts w:ascii="Wingdings" w:hAnsi="Wingdings"/>
    </w:rPr>
  </w:style>
  <w:style w:styleId="Style_67_ch" w:type="character">
    <w:name w:val="WW8Num16z2"/>
    <w:link w:val="Style_67"/>
    <w:rPr>
      <w:rFonts w:ascii="Wingdings" w:hAnsi="Wingdings"/>
    </w:rPr>
  </w:style>
  <w:style w:styleId="Style_68" w:type="paragraph">
    <w:name w:val="WW8Num14z1"/>
    <w:link w:val="Style_68_ch"/>
    <w:rPr>
      <w:rFonts w:ascii="Courier New" w:hAnsi="Courier New"/>
    </w:rPr>
  </w:style>
  <w:style w:styleId="Style_68_ch" w:type="character">
    <w:name w:val="WW8Num14z1"/>
    <w:link w:val="Style_68"/>
    <w:rPr>
      <w:rFonts w:ascii="Courier New" w:hAnsi="Courier New"/>
    </w:rPr>
  </w:style>
  <w:style w:styleId="Style_69" w:type="paragraph">
    <w:name w:val="WW8Num5z2"/>
    <w:link w:val="Style_69_ch"/>
    <w:rPr>
      <w:rFonts w:ascii="Wingdings" w:hAnsi="Wingdings"/>
    </w:rPr>
  </w:style>
  <w:style w:styleId="Style_69_ch" w:type="character">
    <w:name w:val="WW8Num5z2"/>
    <w:link w:val="Style_69"/>
    <w:rPr>
      <w:rFonts w:ascii="Wingdings" w:hAnsi="Wingdings"/>
    </w:rPr>
  </w:style>
  <w:style w:styleId="Style_70" w:type="paragraph">
    <w:name w:val="List"/>
    <w:basedOn w:val="Style_24"/>
    <w:link w:val="Style_70_ch"/>
  </w:style>
  <w:style w:styleId="Style_70_ch" w:type="character">
    <w:name w:val="List"/>
    <w:basedOn w:val="Style_24_ch"/>
    <w:link w:val="Style_70"/>
  </w:style>
  <w:style w:styleId="Style_71" w:type="paragraph">
    <w:name w:val="toc 8"/>
    <w:next w:val="Style_4"/>
    <w:link w:val="Style_7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71_ch" w:type="character">
    <w:name w:val="toc 8"/>
    <w:link w:val="Style_71"/>
    <w:rPr>
      <w:rFonts w:ascii="XO Thames" w:hAnsi="XO Thames"/>
      <w:sz w:val="28"/>
    </w:rPr>
  </w:style>
  <w:style w:styleId="Style_72" w:type="paragraph">
    <w:name w:val="WW8Num4z1"/>
    <w:link w:val="Style_72_ch"/>
    <w:rPr>
      <w:rFonts w:ascii="Courier New" w:hAnsi="Courier New"/>
    </w:rPr>
  </w:style>
  <w:style w:styleId="Style_72_ch" w:type="character">
    <w:name w:val="WW8Num4z1"/>
    <w:link w:val="Style_72"/>
    <w:rPr>
      <w:rFonts w:ascii="Courier New" w:hAnsi="Courier New"/>
    </w:rPr>
  </w:style>
  <w:style w:styleId="Style_73" w:type="paragraph">
    <w:name w:val="WW8Num22z2"/>
    <w:link w:val="Style_73_ch"/>
    <w:rPr>
      <w:rFonts w:ascii="Wingdings" w:hAnsi="Wingdings"/>
    </w:rPr>
  </w:style>
  <w:style w:styleId="Style_73_ch" w:type="character">
    <w:name w:val="WW8Num22z2"/>
    <w:link w:val="Style_73"/>
    <w:rPr>
      <w:rFonts w:ascii="Wingdings" w:hAnsi="Wingdings"/>
    </w:rPr>
  </w:style>
  <w:style w:styleId="Style_74" w:type="paragraph">
    <w:name w:val="WW8Num22z0"/>
    <w:link w:val="Style_74_ch"/>
    <w:rPr>
      <w:rFonts w:ascii="Symbol" w:hAnsi="Symbol"/>
    </w:rPr>
  </w:style>
  <w:style w:styleId="Style_74_ch" w:type="character">
    <w:name w:val="WW8Num22z0"/>
    <w:link w:val="Style_74"/>
    <w:rPr>
      <w:rFonts w:ascii="Symbol" w:hAnsi="Symbol"/>
    </w:rPr>
  </w:style>
  <w:style w:styleId="Style_75" w:type="paragraph">
    <w:name w:val="page number"/>
    <w:basedOn w:val="Style_31"/>
    <w:link w:val="Style_75_ch"/>
  </w:style>
  <w:style w:styleId="Style_75_ch" w:type="character">
    <w:name w:val="page number"/>
    <w:basedOn w:val="Style_31_ch"/>
    <w:link w:val="Style_75"/>
  </w:style>
  <w:style w:styleId="Style_76" w:type="paragraph">
    <w:name w:val="WW8Num15z0"/>
    <w:link w:val="Style_76_ch"/>
    <w:rPr>
      <w:rFonts w:ascii="Symbol" w:hAnsi="Symbol"/>
    </w:rPr>
  </w:style>
  <w:style w:styleId="Style_76_ch" w:type="character">
    <w:name w:val="WW8Num15z0"/>
    <w:link w:val="Style_76"/>
    <w:rPr>
      <w:rFonts w:ascii="Symbol" w:hAnsi="Symbol"/>
    </w:rPr>
  </w:style>
  <w:style w:styleId="Style_77" w:type="paragraph">
    <w:name w:val="WW8Num12z0"/>
    <w:link w:val="Style_77_ch"/>
    <w:rPr>
      <w:b w:val="1"/>
    </w:rPr>
  </w:style>
  <w:style w:styleId="Style_77_ch" w:type="character">
    <w:name w:val="WW8Num12z0"/>
    <w:link w:val="Style_77"/>
    <w:rPr>
      <w:b w:val="1"/>
    </w:rPr>
  </w:style>
  <w:style w:styleId="Style_78" w:type="paragraph">
    <w:name w:val="WW8Num18z0"/>
    <w:link w:val="Style_78_ch"/>
    <w:rPr>
      <w:rFonts w:ascii="Symbol" w:hAnsi="Symbol"/>
    </w:rPr>
  </w:style>
  <w:style w:styleId="Style_78_ch" w:type="character">
    <w:name w:val="WW8Num18z0"/>
    <w:link w:val="Style_78"/>
    <w:rPr>
      <w:rFonts w:ascii="Symbol" w:hAnsi="Symbol"/>
    </w:rPr>
  </w:style>
  <w:style w:styleId="Style_79" w:type="paragraph">
    <w:name w:val="toc 5"/>
    <w:next w:val="Style_4"/>
    <w:link w:val="Style_7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79_ch" w:type="character">
    <w:name w:val="toc 5"/>
    <w:link w:val="Style_79"/>
    <w:rPr>
      <w:rFonts w:ascii="XO Thames" w:hAnsi="XO Thames"/>
      <w:sz w:val="28"/>
    </w:rPr>
  </w:style>
  <w:style w:styleId="Style_80" w:type="paragraph">
    <w:name w:val="WW8Num8z0"/>
    <w:link w:val="Style_80_ch"/>
    <w:rPr>
      <w:rFonts w:ascii="Symbol" w:hAnsi="Symbol"/>
    </w:rPr>
  </w:style>
  <w:style w:styleId="Style_80_ch" w:type="character">
    <w:name w:val="WW8Num8z0"/>
    <w:link w:val="Style_80"/>
    <w:rPr>
      <w:rFonts w:ascii="Symbol" w:hAnsi="Symbol"/>
    </w:rPr>
  </w:style>
  <w:style w:styleId="Style_81" w:type="paragraph">
    <w:name w:val="WW8Num7z2"/>
    <w:link w:val="Style_81_ch"/>
    <w:rPr>
      <w:rFonts w:ascii="Wingdings" w:hAnsi="Wingdings"/>
    </w:rPr>
  </w:style>
  <w:style w:styleId="Style_81_ch" w:type="character">
    <w:name w:val="WW8Num7z2"/>
    <w:link w:val="Style_81"/>
    <w:rPr>
      <w:rFonts w:ascii="Wingdings" w:hAnsi="Wingdings"/>
    </w:rPr>
  </w:style>
  <w:style w:styleId="Style_82" w:type="paragraph">
    <w:name w:val="WW8Num18z2"/>
    <w:link w:val="Style_82_ch"/>
    <w:rPr>
      <w:rFonts w:ascii="Wingdings" w:hAnsi="Wingdings"/>
    </w:rPr>
  </w:style>
  <w:style w:styleId="Style_82_ch" w:type="character">
    <w:name w:val="WW8Num18z2"/>
    <w:link w:val="Style_82"/>
    <w:rPr>
      <w:rFonts w:ascii="Wingdings" w:hAnsi="Wingdings"/>
    </w:rPr>
  </w:style>
  <w:style w:styleId="Style_83" w:type="paragraph">
    <w:name w:val="Основной текст с отступом 3"/>
    <w:basedOn w:val="Style_4"/>
    <w:link w:val="Style_83_ch"/>
    <w:pPr>
      <w:spacing w:line="360" w:lineRule="auto"/>
      <w:ind w:firstLine="540" w:left="0" w:right="0"/>
      <w:jc w:val="both"/>
    </w:pPr>
    <w:rPr>
      <w:i w:val="1"/>
    </w:rPr>
  </w:style>
  <w:style w:styleId="Style_83_ch" w:type="character">
    <w:name w:val="Основной текст с отступом 3"/>
    <w:basedOn w:val="Style_4_ch"/>
    <w:link w:val="Style_83"/>
    <w:rPr>
      <w:i w:val="1"/>
    </w:rPr>
  </w:style>
  <w:style w:styleId="Style_84" w:type="paragraph">
    <w:name w:val="Subtitle"/>
    <w:next w:val="Style_4"/>
    <w:link w:val="Style_8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84_ch" w:type="character">
    <w:name w:val="Subtitle"/>
    <w:link w:val="Style_84"/>
    <w:rPr>
      <w:rFonts w:ascii="XO Thames" w:hAnsi="XO Thames"/>
      <w:i w:val="1"/>
      <w:sz w:val="24"/>
    </w:rPr>
  </w:style>
  <w:style w:styleId="Style_85" w:type="paragraph">
    <w:name w:val="WW8Num13z1"/>
    <w:link w:val="Style_85_ch"/>
    <w:rPr>
      <w:rFonts w:ascii="Courier New" w:hAnsi="Courier New"/>
    </w:rPr>
  </w:style>
  <w:style w:styleId="Style_85_ch" w:type="character">
    <w:name w:val="WW8Num13z1"/>
    <w:link w:val="Style_85"/>
    <w:rPr>
      <w:rFonts w:ascii="Courier New" w:hAnsi="Courier New"/>
    </w:rPr>
  </w:style>
  <w:style w:styleId="Style_86" w:type="paragraph">
    <w:name w:val="WW8Num2z1"/>
    <w:link w:val="Style_86_ch"/>
    <w:rPr>
      <w:rFonts w:ascii="Courier New" w:hAnsi="Courier New"/>
    </w:rPr>
  </w:style>
  <w:style w:styleId="Style_86_ch" w:type="character">
    <w:name w:val="WW8Num2z1"/>
    <w:link w:val="Style_86"/>
    <w:rPr>
      <w:rFonts w:ascii="Courier New" w:hAnsi="Courier New"/>
    </w:rPr>
  </w:style>
  <w:style w:styleId="Style_87" w:type="paragraph">
    <w:name w:val="WW8Num16z3"/>
    <w:link w:val="Style_87_ch"/>
    <w:rPr>
      <w:rFonts w:ascii="Symbol" w:hAnsi="Symbol"/>
    </w:rPr>
  </w:style>
  <w:style w:styleId="Style_87_ch" w:type="character">
    <w:name w:val="WW8Num16z3"/>
    <w:link w:val="Style_87"/>
    <w:rPr>
      <w:rFonts w:ascii="Symbol" w:hAnsi="Symbol"/>
    </w:rPr>
  </w:style>
  <w:style w:styleId="Style_88" w:type="paragraph">
    <w:name w:val="Title"/>
    <w:next w:val="Style_4"/>
    <w:link w:val="Style_8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88_ch" w:type="character">
    <w:name w:val="Title"/>
    <w:link w:val="Style_88"/>
    <w:rPr>
      <w:rFonts w:ascii="XO Thames" w:hAnsi="XO Thames"/>
      <w:b w:val="1"/>
      <w:caps w:val="1"/>
      <w:sz w:val="40"/>
    </w:rPr>
  </w:style>
  <w:style w:styleId="Style_89" w:type="paragraph">
    <w:name w:val="heading 4"/>
    <w:next w:val="Style_4"/>
    <w:link w:val="Style_8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89_ch" w:type="character">
    <w:name w:val="heading 4"/>
    <w:link w:val="Style_89"/>
    <w:rPr>
      <w:rFonts w:ascii="XO Thames" w:hAnsi="XO Thames"/>
      <w:b w:val="1"/>
      <w:sz w:val="24"/>
    </w:rPr>
  </w:style>
  <w:style w:styleId="Style_90" w:type="paragraph">
    <w:name w:val="WW8Num5z0"/>
    <w:link w:val="Style_90_ch"/>
    <w:rPr>
      <w:rFonts w:ascii="Symbol" w:hAnsi="Symbol"/>
    </w:rPr>
  </w:style>
  <w:style w:styleId="Style_90_ch" w:type="character">
    <w:name w:val="WW8Num5z0"/>
    <w:link w:val="Style_90"/>
    <w:rPr>
      <w:rFonts w:ascii="Symbol" w:hAnsi="Symbol"/>
    </w:rPr>
  </w:style>
  <w:style w:styleId="Style_91" w:type="paragraph">
    <w:name w:val="ConsNonformat"/>
    <w:link w:val="Style_91_ch"/>
    <w:pPr>
      <w:widowControl w:val="0"/>
      <w:ind w:firstLine="0" w:left="0" w:right="19772"/>
    </w:pPr>
    <w:rPr>
      <w:rFonts w:ascii="Courier New" w:hAnsi="Courier New"/>
      <w:color w:val="000000"/>
      <w:sz w:val="20"/>
    </w:rPr>
  </w:style>
  <w:style w:styleId="Style_91_ch" w:type="character">
    <w:name w:val="ConsNonformat"/>
    <w:link w:val="Style_91"/>
    <w:rPr>
      <w:rFonts w:ascii="Courier New" w:hAnsi="Courier New"/>
      <w:color w:val="000000"/>
      <w:sz w:val="20"/>
    </w:rPr>
  </w:style>
  <w:style w:styleId="Style_92" w:type="paragraph">
    <w:name w:val="heading 2"/>
    <w:next w:val="Style_4"/>
    <w:link w:val="Style_9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92_ch" w:type="character">
    <w:name w:val="heading 2"/>
    <w:link w:val="Style_92"/>
    <w:rPr>
      <w:rFonts w:ascii="XO Thames" w:hAnsi="XO Thames"/>
      <w:b w:val="1"/>
      <w:sz w:val="28"/>
    </w:rPr>
  </w:style>
  <w:style w:styleId="Style_93" w:type="paragraph">
    <w:name w:val="WW8Num14z2"/>
    <w:link w:val="Style_93_ch"/>
    <w:rPr>
      <w:rFonts w:ascii="Wingdings" w:hAnsi="Wingdings"/>
    </w:rPr>
  </w:style>
  <w:style w:styleId="Style_93_ch" w:type="character">
    <w:name w:val="WW8Num14z2"/>
    <w:link w:val="Style_93"/>
    <w:rPr>
      <w:rFonts w:ascii="Wingdings" w:hAnsi="Wingdings"/>
    </w:rPr>
  </w:style>
  <w:style w:styleId="Style_94" w:type="paragraph">
    <w:name w:val="WW8Num23z0"/>
    <w:link w:val="Style_94_ch"/>
    <w:rPr>
      <w:rFonts w:ascii="Symbol" w:hAnsi="Symbol"/>
    </w:rPr>
  </w:style>
  <w:style w:styleId="Style_94_ch" w:type="character">
    <w:name w:val="WW8Num23z0"/>
    <w:link w:val="Style_94"/>
    <w:rPr>
      <w:rFonts w:ascii="Symbol" w:hAnsi="Symbol"/>
    </w:rPr>
  </w:style>
  <w:style w:styleId="Style_95" w:type="paragraph">
    <w:name w:val="WW8Num17z2"/>
    <w:link w:val="Style_95_ch"/>
    <w:rPr>
      <w:rFonts w:ascii="Wingdings" w:hAnsi="Wingdings"/>
    </w:rPr>
  </w:style>
  <w:style w:styleId="Style_95_ch" w:type="character">
    <w:name w:val="WW8Num17z2"/>
    <w:link w:val="Style_95"/>
    <w:rPr>
      <w:rFonts w:ascii="Wingdings" w:hAnsi="Wingdings"/>
    </w:rPr>
  </w:style>
  <w:style w:styleId="Style_1" w:type="paragraph">
    <w:name w:val="header"/>
    <w:basedOn w:val="Style_4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11" Target="numbering.xml" Type="http://schemas.openxmlformats.org/officeDocument/2006/relationships/numbering"/>
  <Relationship Id="rId10" Target="theme/theme1.xml" Type="http://schemas.openxmlformats.org/officeDocument/2006/relationships/theme"/>
  <Relationship Id="rId9" Target="webSettings.xml" Type="http://schemas.openxmlformats.org/officeDocument/2006/relationships/webSettings"/>
  <Relationship Id="rId8" Target="stylesWithEffects.xml" Type="http://schemas.microsoft.com/office/2007/relationships/stylesWithEffects"/>
  <Relationship Id="rId7" Target="styles.xml" Type="http://schemas.openxmlformats.org/officeDocument/2006/relationships/styles"/>
  <Relationship Id="rId6" Target="settings.xml" Type="http://schemas.openxmlformats.org/officeDocument/2006/relationships/settings"/>
  <Relationship Id="rId5" Target="fontTable.xml" Type="http://schemas.openxmlformats.org/officeDocument/2006/relationships/fontTable"/>
  <Relationship Id="rId4" Target="footer4.xml" Type="http://schemas.openxmlformats.org/officeDocument/2006/relationships/footer"/>
  <Relationship Id="rId3" Target="header3.xml" Type="http://schemas.openxmlformats.org/officeDocument/2006/relationships/header"/>
  <Relationship Id="rId2" Target="footer2.xml" Type="http://schemas.openxmlformats.org/officeDocument/2006/relationships/footer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2024-05-20T09:28:31Z</dcterms:modified>
</cp:coreProperties>
</file>